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firstLine="0"/>
        <w:jc w:val="center"/>
        <w:rPr>
          <w:rFonts w:ascii="宋体" w:hAnsi="宋体" w:eastAsia="宋体" w:cs="宋体"/>
          <w:b/>
          <w:bCs/>
          <w:sz w:val="36"/>
          <w:szCs w:val="36"/>
        </w:rPr>
      </w:pPr>
      <w:bookmarkStart w:id="0" w:name="_GoBack"/>
      <w:bookmarkEnd w:id="0"/>
      <w:r>
        <w:rPr>
          <w:rFonts w:hint="eastAsia" w:ascii="宋体" w:hAnsi="宋体" w:eastAsia="宋体" w:cs="宋体"/>
          <w:b/>
          <w:bCs/>
          <w:sz w:val="36"/>
          <w:szCs w:val="36"/>
        </w:rPr>
        <w:t>安徽建筑大学智慧校园校园网核心设备维保服务</w:t>
      </w:r>
    </w:p>
    <w:p>
      <w:pPr>
        <w:pStyle w:val="6"/>
        <w:ind w:left="0" w:firstLine="0"/>
        <w:jc w:val="center"/>
        <w:rPr>
          <w:rFonts w:ascii="宋体" w:hAnsi="宋体" w:eastAsia="宋体" w:cs="宋体"/>
          <w:b/>
          <w:bCs/>
          <w:sz w:val="36"/>
          <w:szCs w:val="36"/>
        </w:rPr>
      </w:pPr>
      <w:r>
        <w:rPr>
          <w:rFonts w:hint="eastAsia" w:ascii="宋体" w:hAnsi="宋体" w:eastAsia="宋体" w:cs="宋体"/>
          <w:b/>
          <w:bCs/>
          <w:sz w:val="36"/>
          <w:szCs w:val="36"/>
        </w:rPr>
        <w:t>市场调研报告</w:t>
      </w:r>
    </w:p>
    <w:p/>
    <w:p>
      <w:pPr>
        <w:pStyle w:val="6"/>
        <w:ind w:left="0" w:firstLine="0"/>
        <w:rPr>
          <w:rFonts w:ascii="宋体" w:hAnsi="宋体" w:eastAsia="宋体" w:cs="宋体"/>
          <w:sz w:val="32"/>
          <w:szCs w:val="32"/>
        </w:rPr>
      </w:pPr>
      <w:r>
        <w:rPr>
          <w:rFonts w:hint="eastAsia" w:ascii="宋体" w:hAnsi="宋体" w:eastAsia="宋体" w:cs="宋体"/>
          <w:sz w:val="32"/>
          <w:szCs w:val="32"/>
        </w:rPr>
        <w:t>各单位:</w:t>
      </w:r>
    </w:p>
    <w:p>
      <w:pPr>
        <w:pStyle w:val="6"/>
        <w:ind w:left="0" w:firstLine="640" w:firstLineChars="200"/>
        <w:rPr>
          <w:rFonts w:hint="eastAsia" w:ascii="宋体" w:hAnsi="宋体" w:eastAsia="宋体" w:cs="宋体"/>
          <w:sz w:val="32"/>
          <w:szCs w:val="32"/>
        </w:rPr>
      </w:pPr>
      <w:r>
        <w:rPr>
          <w:rFonts w:hint="eastAsia" w:ascii="宋体" w:hAnsi="宋体" w:eastAsia="宋体" w:cs="宋体"/>
          <w:sz w:val="32"/>
          <w:szCs w:val="32"/>
        </w:rPr>
        <w:t>我校拟于2024年招标智慧校园校园网核心设备维保服务项目，现面向你单位征询相关意见，请根据工作实际填写相关情况并提出反馈意见，最迟请于2024年7月1</w:t>
      </w:r>
      <w:r>
        <w:rPr>
          <w:rFonts w:hint="eastAsia" w:ascii="宋体" w:hAnsi="宋体" w:eastAsia="宋体" w:cs="宋体"/>
          <w:sz w:val="32"/>
          <w:szCs w:val="32"/>
          <w:lang w:val="en-US" w:eastAsia="zh-CN"/>
        </w:rPr>
        <w:t>1</w:t>
      </w:r>
      <w:r>
        <w:rPr>
          <w:rFonts w:hint="eastAsia" w:ascii="宋体" w:hAnsi="宋体" w:eastAsia="宋体" w:cs="宋体"/>
          <w:sz w:val="32"/>
          <w:szCs w:val="32"/>
        </w:rPr>
        <w:t>日</w:t>
      </w:r>
      <w:r>
        <w:rPr>
          <w:rFonts w:hint="eastAsia" w:ascii="宋体" w:hAnsi="宋体" w:eastAsia="宋体" w:cs="宋体"/>
          <w:sz w:val="32"/>
          <w:szCs w:val="32"/>
        </w:rPr>
        <w:t>之前反馈至邮箱</w:t>
      </w:r>
      <w:r>
        <w:rPr>
          <w:rFonts w:hint="eastAsia" w:ascii="宋体" w:hAnsi="宋体" w:eastAsia="宋体" w:cs="宋体"/>
          <w:sz w:val="32"/>
          <w:szCs w:val="32"/>
          <w:lang w:val="en-US" w:eastAsia="zh-CN"/>
        </w:rPr>
        <w:t>wangyan5567</w:t>
      </w:r>
      <w:r>
        <w:rPr>
          <w:rFonts w:hint="eastAsia" w:ascii="宋体" w:hAnsi="宋体" w:eastAsia="宋体" w:cs="宋体"/>
          <w:sz w:val="32"/>
          <w:szCs w:val="32"/>
        </w:rPr>
        <w:t>@ahjzu.edu.cn</w:t>
      </w:r>
      <w:r>
        <w:rPr>
          <w:rFonts w:hint="eastAsia" w:ascii="宋体" w:hAnsi="宋体" w:eastAsia="宋体" w:cs="宋体"/>
          <w:sz w:val="32"/>
          <w:szCs w:val="32"/>
        </w:rPr>
        <w:t>，谢谢!</w:t>
      </w:r>
    </w:p>
    <w:p>
      <w:pPr>
        <w:pStyle w:val="6"/>
        <w:ind w:left="0" w:firstLine="640" w:firstLineChars="200"/>
        <w:rPr>
          <w:rFonts w:hint="eastAsia" w:ascii="宋体" w:hAnsi="宋体" w:eastAsia="宋体" w:cs="宋体"/>
          <w:sz w:val="32"/>
          <w:szCs w:val="32"/>
        </w:rPr>
      </w:pPr>
    </w:p>
    <w:p>
      <w:pPr>
        <w:pStyle w:val="6"/>
        <w:ind w:left="0" w:firstLine="640" w:firstLineChars="200"/>
        <w:jc w:val="right"/>
        <w:rPr>
          <w:rFonts w:hint="eastAsia" w:ascii="宋体" w:hAnsi="宋体" w:eastAsia="宋体" w:cs="宋体"/>
          <w:sz w:val="32"/>
          <w:szCs w:val="32"/>
        </w:rPr>
      </w:pPr>
    </w:p>
    <w:p>
      <w:pPr>
        <w:pStyle w:val="6"/>
        <w:ind w:left="0" w:firstLine="640" w:firstLineChars="200"/>
        <w:jc w:val="right"/>
        <w:rPr>
          <w:rFonts w:hint="eastAsia" w:ascii="宋体" w:hAnsi="宋体" w:eastAsia="宋体" w:cs="宋体"/>
          <w:sz w:val="32"/>
          <w:szCs w:val="32"/>
        </w:rPr>
      </w:pPr>
      <w:r>
        <w:rPr>
          <w:rFonts w:hint="eastAsia" w:ascii="宋体" w:hAnsi="宋体" w:eastAsia="宋体" w:cs="宋体"/>
          <w:sz w:val="32"/>
          <w:szCs w:val="32"/>
        </w:rPr>
        <w:t>安徽建筑大学信息网络中心</w:t>
      </w:r>
    </w:p>
    <w:p>
      <w:pPr>
        <w:pStyle w:val="6"/>
        <w:ind w:left="0" w:firstLine="640" w:firstLineChars="200"/>
        <w:jc w:val="right"/>
        <w:rPr>
          <w:rFonts w:ascii="宋体" w:hAnsi="宋体" w:eastAsia="宋体" w:cs="宋体"/>
          <w:sz w:val="32"/>
          <w:szCs w:val="32"/>
        </w:rPr>
      </w:pPr>
      <w:r>
        <w:rPr>
          <w:rFonts w:hint="eastAsia" w:ascii="宋体" w:hAnsi="宋体" w:eastAsia="宋体" w:cs="宋体"/>
          <w:sz w:val="32"/>
          <w:szCs w:val="32"/>
        </w:rPr>
        <w:t>2024年7月3 日</w:t>
      </w:r>
      <w:r>
        <w:rPr>
          <w:rFonts w:hint="eastAsia" w:ascii="宋体" w:hAnsi="宋体" w:eastAsia="宋体" w:cs="宋体"/>
          <w:sz w:val="32"/>
          <w:szCs w:val="32"/>
        </w:rPr>
        <w:br w:type="page"/>
      </w:r>
    </w:p>
    <w:p>
      <w:pPr>
        <w:pStyle w:val="6"/>
        <w:ind w:left="0" w:firstLine="0"/>
        <w:rPr>
          <w:rFonts w:ascii="宋体" w:hAnsi="宋体" w:eastAsia="宋体" w:cs="宋体"/>
          <w:sz w:val="28"/>
          <w:szCs w:val="28"/>
        </w:rPr>
      </w:pPr>
      <w:r>
        <w:rPr>
          <w:rFonts w:hint="eastAsia" w:ascii="宋体" w:hAnsi="宋体" w:eastAsia="宋体" w:cs="宋体"/>
          <w:sz w:val="28"/>
          <w:szCs w:val="28"/>
        </w:rPr>
        <w:t>单位名称（公章）：</w:t>
      </w:r>
    </w:p>
    <w:p>
      <w:pPr>
        <w:rPr>
          <w:rFonts w:ascii="宋体" w:hAnsi="宋体" w:eastAsia="宋体" w:cs="宋体"/>
          <w:sz w:val="28"/>
          <w:szCs w:val="28"/>
        </w:rPr>
      </w:pPr>
      <w:r>
        <w:rPr>
          <w:rFonts w:hint="eastAsia" w:ascii="宋体" w:hAnsi="宋体" w:eastAsia="宋体" w:cs="宋体"/>
          <w:sz w:val="28"/>
          <w:szCs w:val="28"/>
        </w:rPr>
        <w:t>联系人及联系方式：</w:t>
      </w:r>
    </w:p>
    <w:p>
      <w:pPr>
        <w:rPr>
          <w:rFonts w:ascii="黑体" w:hAnsi="黑体" w:eastAsia="黑体" w:cs="仿宋_GB2312"/>
          <w:sz w:val="32"/>
          <w:szCs w:val="32"/>
        </w:rPr>
      </w:pPr>
    </w:p>
    <w:p>
      <w:pPr>
        <w:pStyle w:val="6"/>
        <w:ind w:leftChars="200" w:firstLine="0"/>
        <w:rPr>
          <w:rFonts w:ascii="仿宋" w:hAnsi="仿宋" w:eastAsia="仿宋" w:cs="仿宋"/>
          <w:sz w:val="28"/>
          <w:szCs w:val="28"/>
        </w:rPr>
      </w:pPr>
      <w:r>
        <w:rPr>
          <w:rFonts w:hint="eastAsia" w:ascii="仿宋" w:hAnsi="仿宋" w:eastAsia="仿宋" w:cs="仿宋"/>
          <w:b/>
          <w:bCs/>
          <w:sz w:val="28"/>
          <w:szCs w:val="28"/>
        </w:rPr>
        <w:t>一、项目名称：</w:t>
      </w:r>
      <w:r>
        <w:rPr>
          <w:rFonts w:hint="eastAsia" w:ascii="仿宋" w:hAnsi="仿宋" w:eastAsia="仿宋" w:cs="仿宋"/>
          <w:sz w:val="28"/>
          <w:szCs w:val="28"/>
        </w:rPr>
        <w:t>安徽建筑大学智慧校园校园网核心设备维保服务</w:t>
      </w:r>
    </w:p>
    <w:p>
      <w:pPr>
        <w:pStyle w:val="6"/>
        <w:ind w:leftChars="200" w:firstLine="0"/>
        <w:rPr>
          <w:rFonts w:ascii="仿宋" w:hAnsi="仿宋" w:eastAsia="仿宋" w:cs="仿宋"/>
          <w:b/>
          <w:bCs/>
          <w:sz w:val="28"/>
          <w:szCs w:val="28"/>
        </w:rPr>
      </w:pPr>
      <w:r>
        <w:rPr>
          <w:rFonts w:hint="eastAsia" w:ascii="仿宋" w:hAnsi="仿宋" w:eastAsia="仿宋" w:cs="仿宋"/>
          <w:b/>
          <w:bCs/>
          <w:sz w:val="28"/>
          <w:szCs w:val="28"/>
        </w:rPr>
        <w:t>二、预算金额：</w:t>
      </w:r>
      <w:r>
        <w:rPr>
          <w:rFonts w:hint="eastAsia" w:ascii="仿宋" w:hAnsi="仿宋" w:eastAsia="仿宋" w:cs="仿宋"/>
          <w:sz w:val="28"/>
          <w:szCs w:val="28"/>
        </w:rPr>
        <w:t>90万元</w:t>
      </w:r>
    </w:p>
    <w:p>
      <w:pPr>
        <w:pStyle w:val="6"/>
        <w:ind w:leftChars="200" w:firstLine="0"/>
        <w:rPr>
          <w:rFonts w:ascii="仿宋" w:hAnsi="仿宋" w:eastAsia="仿宋" w:cs="仿宋"/>
          <w:b/>
          <w:bCs/>
          <w:sz w:val="28"/>
          <w:szCs w:val="28"/>
        </w:rPr>
      </w:pPr>
      <w:r>
        <w:rPr>
          <w:rFonts w:hint="eastAsia" w:ascii="仿宋" w:hAnsi="仿宋" w:eastAsia="仿宋" w:cs="仿宋"/>
          <w:b/>
          <w:bCs/>
          <w:sz w:val="28"/>
          <w:szCs w:val="28"/>
        </w:rPr>
        <w:t>三、项目概况：</w:t>
      </w:r>
    </w:p>
    <w:p>
      <w:pPr>
        <w:pStyle w:val="6"/>
        <w:ind w:left="0" w:firstLine="560" w:firstLineChars="200"/>
        <w:rPr>
          <w:rFonts w:ascii="仿宋" w:hAnsi="仿宋" w:eastAsia="仿宋" w:cs="仿宋"/>
          <w:sz w:val="28"/>
          <w:szCs w:val="28"/>
        </w:rPr>
      </w:pPr>
      <w:r>
        <w:rPr>
          <w:rFonts w:hint="eastAsia" w:ascii="仿宋" w:hAnsi="仿宋" w:eastAsia="仿宋" w:cs="仿宋"/>
          <w:sz w:val="28"/>
          <w:szCs w:val="28"/>
        </w:rPr>
        <w:t>我校信息化及信息安全系统日渐完善，但随着设备使用时间的逐步推移，部分信息化核心设备和重要系统于2024年质保到期，计划购买相关设备及系统的原厂维保服务，保障设备及系统安全稳定运行，本次采购服务期为一年。</w:t>
      </w:r>
    </w:p>
    <w:p>
      <w:pPr>
        <w:pStyle w:val="6"/>
        <w:ind w:leftChars="200" w:firstLine="0"/>
        <w:rPr>
          <w:rFonts w:ascii="仿宋" w:hAnsi="仿宋" w:eastAsia="仿宋" w:cs="仿宋"/>
          <w:b/>
          <w:bCs/>
          <w:sz w:val="28"/>
          <w:szCs w:val="28"/>
        </w:rPr>
      </w:pPr>
      <w:r>
        <w:rPr>
          <w:rFonts w:hint="eastAsia" w:ascii="仿宋" w:hAnsi="仿宋" w:eastAsia="仿宋" w:cs="仿宋"/>
          <w:b/>
          <w:bCs/>
          <w:sz w:val="28"/>
          <w:szCs w:val="28"/>
        </w:rPr>
        <w:t>四、付款方式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验收完成后一次性付款。</w:t>
      </w:r>
    </w:p>
    <w:p>
      <w:pPr>
        <w:pStyle w:val="6"/>
        <w:ind w:leftChars="200" w:firstLine="0"/>
        <w:rPr>
          <w:rFonts w:ascii="仿宋" w:hAnsi="仿宋" w:eastAsia="仿宋" w:cs="仿宋"/>
          <w:b/>
          <w:bCs/>
          <w:sz w:val="28"/>
          <w:szCs w:val="28"/>
        </w:rPr>
      </w:pPr>
      <w:r>
        <w:rPr>
          <w:rFonts w:hint="eastAsia" w:ascii="仿宋" w:hAnsi="仿宋" w:eastAsia="仿宋" w:cs="仿宋"/>
          <w:b/>
          <w:bCs/>
          <w:sz w:val="28"/>
          <w:szCs w:val="28"/>
        </w:rPr>
        <w:t>五、服务范围及要求</w:t>
      </w:r>
    </w:p>
    <w:p>
      <w:pPr>
        <w:pStyle w:val="6"/>
        <w:ind w:left="1006" w:leftChars="304" w:hanging="368" w:hangingChars="131"/>
        <w:rPr>
          <w:rFonts w:ascii="仿宋" w:hAnsi="仿宋" w:eastAsia="仿宋" w:cs="仿宋"/>
          <w:b/>
          <w:bCs/>
          <w:sz w:val="28"/>
          <w:szCs w:val="28"/>
        </w:rPr>
      </w:pPr>
      <w:r>
        <w:rPr>
          <w:rFonts w:hint="eastAsia" w:ascii="仿宋" w:hAnsi="仿宋" w:eastAsia="仿宋" w:cs="仿宋"/>
          <w:b/>
          <w:bCs/>
          <w:sz w:val="28"/>
          <w:szCs w:val="28"/>
        </w:rPr>
        <w:t>（一）服务范围</w:t>
      </w:r>
    </w:p>
    <w:p>
      <w:pPr>
        <w:pStyle w:val="6"/>
        <w:tabs>
          <w:tab w:val="left" w:pos="840"/>
        </w:tabs>
        <w:ind w:left="0" w:firstLine="560" w:firstLineChars="200"/>
        <w:rPr>
          <w:rFonts w:ascii="仿宋" w:hAnsi="仿宋" w:eastAsia="仿宋" w:cs="仿宋"/>
          <w:sz w:val="28"/>
          <w:szCs w:val="28"/>
        </w:rPr>
      </w:pPr>
      <w:r>
        <w:rPr>
          <w:rFonts w:hint="eastAsia" w:ascii="仿宋" w:hAnsi="仿宋" w:eastAsia="仿宋" w:cs="仿宋"/>
          <w:sz w:val="28"/>
          <w:szCs w:val="28"/>
        </w:rPr>
        <w:t>项目内容为采购网络核心设备和重要系统的维保服务，具体包括南北校区核心交换机、出口防火墙、核心路由器、南北校区UPS、南北校区精密空调、计费系统、无感知认证系统、展示大厅、网上阅卷系统、高清视频系统、中心机房消防系统的一年维保服务。</w:t>
      </w:r>
    </w:p>
    <w:p>
      <w:pPr>
        <w:ind w:left="638" w:leftChars="304"/>
        <w:rPr>
          <w:rFonts w:ascii="仿宋" w:hAnsi="仿宋" w:eastAsia="仿宋" w:cs="仿宋"/>
          <w:b/>
          <w:bCs/>
          <w:color w:val="000000"/>
          <w:sz w:val="28"/>
          <w:szCs w:val="28"/>
        </w:rPr>
      </w:pPr>
      <w:r>
        <w:rPr>
          <w:rFonts w:hint="eastAsia" w:ascii="仿宋" w:hAnsi="仿宋" w:eastAsia="仿宋" w:cs="仿宋"/>
          <w:b/>
          <w:bCs/>
          <w:color w:val="000000"/>
          <w:sz w:val="28"/>
          <w:szCs w:val="28"/>
        </w:rPr>
        <w:t>（二）服务总体要求</w:t>
      </w:r>
    </w:p>
    <w:tbl>
      <w:tblPr>
        <w:tblStyle w:val="7"/>
        <w:tblW w:w="5271" w:type="pct"/>
        <w:tblInd w:w="-231" w:type="dxa"/>
        <w:tblLayout w:type="autofit"/>
        <w:tblCellMar>
          <w:top w:w="0" w:type="dxa"/>
          <w:left w:w="108" w:type="dxa"/>
          <w:bottom w:w="0" w:type="dxa"/>
          <w:right w:w="108" w:type="dxa"/>
        </w:tblCellMar>
      </w:tblPr>
      <w:tblGrid>
        <w:gridCol w:w="756"/>
        <w:gridCol w:w="1307"/>
        <w:gridCol w:w="5659"/>
        <w:gridCol w:w="559"/>
        <w:gridCol w:w="703"/>
      </w:tblGrid>
      <w:tr>
        <w:tblPrEx>
          <w:tblCellMar>
            <w:top w:w="0" w:type="dxa"/>
            <w:left w:w="108" w:type="dxa"/>
            <w:bottom w:w="0" w:type="dxa"/>
            <w:right w:w="108" w:type="dxa"/>
          </w:tblCellMar>
        </w:tblPrEx>
        <w:trPr>
          <w:trHeight w:val="480" w:hRule="atLeast"/>
        </w:trPr>
        <w:tc>
          <w:tcPr>
            <w:tcW w:w="4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72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服务名称</w:t>
            </w:r>
          </w:p>
        </w:tc>
        <w:tc>
          <w:tcPr>
            <w:tcW w:w="31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产品描述</w:t>
            </w:r>
          </w:p>
        </w:tc>
        <w:tc>
          <w:tcPr>
            <w:tcW w:w="3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数量</w:t>
            </w:r>
          </w:p>
        </w:tc>
        <w:tc>
          <w:tcPr>
            <w:tcW w:w="3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单位</w:t>
            </w:r>
          </w:p>
        </w:tc>
      </w:tr>
      <w:tr>
        <w:tblPrEx>
          <w:tblCellMar>
            <w:top w:w="0" w:type="dxa"/>
            <w:left w:w="108" w:type="dxa"/>
            <w:bottom w:w="0" w:type="dxa"/>
            <w:right w:w="108" w:type="dxa"/>
          </w:tblCellMar>
        </w:tblPrEx>
        <w:trPr>
          <w:trHeight w:val="82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南区核心交换机一年维保服务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现有设备数量和型号：2台华为 S12712 核心交换机1、服务期内提供核心交换机原厂硬件系统质保服务，包括主控单元、电源、风扇、万兆光纤模块，光纤跳线；上门取件，送件。</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2、服务期内设备出现故障必须提供备件服务，24小时内恢复到故障前状态；24小时内软件更新到故障前正式授权。</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3、服务期内提供软件安装、故障排查、咨询服务。包括但不限于数据库管理系统升级、重新安装、测试；RADIUS 服务器、客户端配置，与对端设备对接和测试；日志、用户账号备份和还原。</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4、服务时间 365 天，提供 7×10 小时上门服务，不接受节假日限制。</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5、要求设备原厂商提供以下服务：7×24 小时电话支持；7×8 小时远程服务，2 个小时内响应；7×10 小时送修服务，48 小时内提供备机；安装调试；远程监测；软件升级及更新；软件维护；网上在线支持。</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6、★合同签订后一周可通过官方热线查询设备的维保信息。（投标文件中提供承诺函，格式自拟，加盖投标人电子签章或公章）</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r>
      <w:tr>
        <w:tblPrEx>
          <w:tblCellMar>
            <w:top w:w="0" w:type="dxa"/>
            <w:left w:w="108" w:type="dxa"/>
            <w:bottom w:w="0" w:type="dxa"/>
            <w:right w:w="108" w:type="dxa"/>
          </w:tblCellMar>
        </w:tblPrEx>
        <w:trPr>
          <w:trHeight w:val="74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北区核心交换机一年维保服务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现有设备数量和型号：1台华为 S12708 核心交换机</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1、服务期内提供核心交换机原厂硬件系统质保服务，包括主控单元、电源、风扇、万兆光纤模块，光纤跳线；上门取件，送件。</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2、服务期内设备出现故障必须提供备件服务，24小时内恢复到故障前状态；24 小时内软件更新到故障前正式授权</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3、服务期内提供软件安装、故障排查、咨询服务。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4、服务时间 365 天，提供 7×10 小时上门服务，不接受节假日限制。</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5、要求设备原厂商提供以下服务：7×24 小时电话支持；7×8 小时远程服务，2 个小时内响应；7×10 小时送修服务，48 小时内提供备机；安装调试；远程监测；软件升级及更新；软件维护；网上在线支持。</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6、★合同签订后一周可通过官方热线查询设备的维保信息。（投标文件中需提供承诺函，格式自拟，加盖投标人电子签章或公章）</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r>
      <w:tr>
        <w:tblPrEx>
          <w:tblCellMar>
            <w:top w:w="0" w:type="dxa"/>
            <w:left w:w="108" w:type="dxa"/>
            <w:bottom w:w="0" w:type="dxa"/>
            <w:right w:w="108" w:type="dxa"/>
          </w:tblCellMar>
        </w:tblPrEx>
        <w:trPr>
          <w:trHeight w:val="40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出口防火墙一年维保服务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现有设备数量和型号：1 台华为 USG9560 防火墙</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1、服务期内提供出口防火墙原厂硬件系统质保服务，包括主机、电源、万兆光纤模块；上门取件，送件。</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2、服务期内设备出现故障必须提供备件服务，24小时内恢复到故障前状态；24 小时内软件更新到故障前正式授权。</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3、服务期内提供软件安装、故障排查、咨询服务。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4、服务时间 365 天，提供 7×10 小时上门服务，不接受节假日限制。</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5、要求设备原厂商提供以下服务：7×24 小时电话支持；7×8 小时远程服务，2 个小时内响应；7×10 小时送修服务，48 小时内提供备机；安装调试；远程监测；软件升级及更新；软件维护；网上在线支持。</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6、★合同签订后一周可通过官方热线查询设备的维保信息。（投标文件中需提供承诺函，格式自拟，加盖投标人电子签章或公章）</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r>
      <w:tr>
        <w:tblPrEx>
          <w:tblCellMar>
            <w:top w:w="0" w:type="dxa"/>
            <w:left w:w="108" w:type="dxa"/>
            <w:bottom w:w="0" w:type="dxa"/>
            <w:right w:w="108" w:type="dxa"/>
          </w:tblCellMar>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核心路由器一年维保服务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现有设备数量及名称：1 台瞻博 mx960 核心路由器</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1、服务期内提供核心路由器厂商维保服务，维保服务包括技术支持服务，签订合同之日起，提供重大软件故障 4 小时内上门支持；较大网络结构调整、网络配置调整、重要时间节点的上门技术支持；日常设备配置调整提供远程技术支持，日常季度设备巡检并提交季度巡检报告。服务期内设备出现故障整机硬件质保，提供备件备机支持服务，硬件故障提供原厂硬件备件免费更换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2、服务时间 365 天，提供 7×10 小时上门服务，不接受节假日限制，提供 7×24 远程问题处理。</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3、★合同签订后一周可通过官方热线查询设备的维保信息。（投标文件中需提供承诺函，格式自拟，加盖投标人电子签章或公章）</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r>
      <w:tr>
        <w:tblPrEx>
          <w:tblCellMar>
            <w:top w:w="0" w:type="dxa"/>
            <w:left w:w="108" w:type="dxa"/>
            <w:bottom w:w="0" w:type="dxa"/>
            <w:right w:w="108" w:type="dxa"/>
          </w:tblCellMar>
        </w:tblPrEx>
        <w:trPr>
          <w:trHeight w:val="336"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南区UPS一年维保服务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现有设备数量和型号：2 台施耐德 Symmetra PX160KVA UPS 主机</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1、服务期内提供 UPS 主机原厂商维保服务，提供原厂商 5×8 小时现场响应服务。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2、服务期内提供原厂商 7×24 电话技术支持服务。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3、服务期内原厂商每个季度提供1次定期巡检服务，包括UPS各项功能测试和电池测试，模拟市电失电试验，并提供巡检报告。</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4、服务器内定期对UPS设备进行清洁，包括清洁UPS的外壳、风扇、散热器等部件，确保散热良好。</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5、服务期内接到采购人设备故障通知后，1小时内到达现场，2小时内解决问题（如果现场不能修复，将给出解决方案）；设备故障48 小时内提供备件并进行维修更换，更换备件（电池除外）以及其他一切费用均包含在合同金额内。</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6、服务期内提供软件免费升级及更新服务。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7、若供应商提供的模块化 UPS 核心部件维保服务工作验收不合格或维保服务质量采购人不予认可，须由供应商邀请原厂工程师就验收不合格部分(或维保服务质量采购人不认可部分)提供维保服务，所有费用由供应商自行承担(模块化 UPS 核心部件包括:控制模块、功率模块、静态开关模块、电源模块和输出智能配电模块)。</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8、★合同签订后一周可通过设备官网或者官方热线查询设备的维保信息。（投标文件中需提供承诺函，格式自拟，加盖投标人电子签章或公章）</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r>
      <w:tr>
        <w:tblPrEx>
          <w:tblCellMar>
            <w:top w:w="0" w:type="dxa"/>
            <w:left w:w="108" w:type="dxa"/>
            <w:bottom w:w="0" w:type="dxa"/>
            <w:right w:w="108" w:type="dxa"/>
          </w:tblCellMar>
        </w:tblPrEx>
        <w:trPr>
          <w:trHeight w:val="82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FF0000"/>
                <w:sz w:val="24"/>
              </w:rPr>
            </w:pPr>
            <w:r>
              <w:rPr>
                <w:rFonts w:hint="eastAsia" w:ascii="仿宋" w:hAnsi="仿宋" w:eastAsia="仿宋" w:cs="仿宋"/>
                <w:kern w:val="0"/>
                <w:sz w:val="24"/>
                <w:lang w:bidi="ar"/>
              </w:rPr>
              <w:t>南区精密空调一年维保服务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现有设备数量和型号：12 台施耐德 ACRD101精密空调</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1、服务期内提供精密空调原厂商维保服务，提供原厂商 5×8 小时现场响应服务。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2、服务期内提供原厂商 7×24 电话技术支持服务。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服务期内原厂商每个季度提供1次定期巡检服务，包括但不限于对精密空调的制冷、加热、加湿、除湿等功能进行全面测试，确保精密空调各项功能正常；检查精密空调的电气线路、传感器、控制模块等，诊断潜在故障；并提供巡检报告。</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4、服务期内每季度对精密空调的滤网、冷凝器、蒸发器等部件进行清洗保养，确保精密空调高效运行。</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服务期内在接到采购人设备故障通知后，1小时内到达现场，2小时内解决问题（如果现场不能修复，将给出解决方案）；设备故障48小时内提供备件并进行维修更换，设备更换备件以及其他一切费用均包含在合同金额内。</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6、服务期内提供软件免费升级及更新服务。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若供应商提供的精密空调核心部件维保服务工作验收不合格或维保服务质量采购人不予认可，须由供应商邀请原厂工程师就验收不合格部分(或维保服务质量采购人不认可部分)提供维保服务，所有费用由供应商自行承担(精密空调核心部件包括:控制模块、电源模块、压缩机、蒸发器、冷凝器、冷凝水泵)。</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8、★合同签订后一周可通过设备官网或者官方热线查询设备的维保信息。（投标文件中需提供承诺函，格式自拟，加盖投标人电子签章或公章）</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r>
      <w:tr>
        <w:tblPrEx>
          <w:tblCellMar>
            <w:top w:w="0" w:type="dxa"/>
            <w:left w:w="108" w:type="dxa"/>
            <w:bottom w:w="0" w:type="dxa"/>
            <w:right w:w="108" w:type="dxa"/>
          </w:tblCellMar>
        </w:tblPrEx>
        <w:trPr>
          <w:trHeight w:val="54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FF0000"/>
                <w:sz w:val="24"/>
              </w:rPr>
            </w:pPr>
            <w:r>
              <w:rPr>
                <w:rFonts w:hint="eastAsia" w:ascii="仿宋" w:hAnsi="仿宋" w:eastAsia="仿宋" w:cs="仿宋"/>
                <w:kern w:val="0"/>
                <w:sz w:val="24"/>
                <w:lang w:bidi="ar"/>
              </w:rPr>
              <w:t>北区UPS主机一年维保服务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现有设备数量和型号：1 台英威腾 HT3120XL UPS主机</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1、服务期内提供 UPS 主机原厂商维保服务，含维修、备件，提供原厂商 5×8 小时现场响应服务。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2、服务期内提供原厂商 7×24 电话技术支持服务。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3、服务期内原厂商每个季度提供1次定期巡检服务，包括UPS各项功能测试和电池测试，模拟市电失电试验，并提供巡检报告。</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4、服务器内定期对UPS设备进行清洁，包括清洁UPS的外壳、风扇、散热器等部件，确保散热良好。</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5、服务期内接到采购人设备故障通知后，1小时内到达现场，2小时内解决问题（如果现场不能修复，将给出解决方案）；设备故障48 小时内提供备件并进行维修更换，更换备件（电池除外）以及其他一切费用均包含在合同金额内。</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6、服务期内提供软件免费升级及更新服务。</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7、合同期内，设备更换备件（电池除外）以及其他一切费用均包含在合同金额内。</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r>
      <w:tr>
        <w:tblPrEx>
          <w:tblCellMar>
            <w:top w:w="0" w:type="dxa"/>
            <w:left w:w="108" w:type="dxa"/>
            <w:bottom w:w="0" w:type="dxa"/>
            <w:right w:w="108" w:type="dxa"/>
          </w:tblCellMar>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FF0000"/>
                <w:sz w:val="24"/>
              </w:rPr>
            </w:pPr>
            <w:r>
              <w:rPr>
                <w:rFonts w:hint="eastAsia" w:ascii="仿宋" w:hAnsi="仿宋" w:eastAsia="仿宋" w:cs="仿宋"/>
                <w:kern w:val="0"/>
                <w:sz w:val="24"/>
                <w:lang w:bidi="ar"/>
              </w:rPr>
              <w:t>北区机房空调一年维保服务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现有设备数量和型号：1 台英维克 CyberMate512机房空调</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1、服务期内提供机房空调原厂商维保服务，含维修、备件，提供原厂商 5×8 小时现场响应服务。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2、服务期内提供原厂商 7×24 电话技术支持服务。</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服务期内原厂商每个季度提供1次定期巡检服务，包括但不限于对精密空调的制冷、加热、加湿、除湿等功能进行全面测试，确保精密空调各项功能正常；检查精密空调的电气线路、传感器、控制模块等，诊断潜在故障；并提供巡检报告。</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4、服务期内每季度对精密空调的滤网、冷凝器、蒸发器等部件进行清洗保养，确保精密空调高效运行。</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服务期内在接到采购人设备故障通知后，1小时内到达现场，2小时内解决问题（如果现场不能修复，将给出解决方案）；设备故障48小时内提供备件并进行维修更换，设备更换备件以及其他一切费用均包含在合同金额内。</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6、服务期内提供软件免费升级及更新服务。</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r>
      <w:tr>
        <w:tblPrEx>
          <w:tblCellMar>
            <w:top w:w="0" w:type="dxa"/>
            <w:left w:w="108" w:type="dxa"/>
            <w:bottom w:w="0" w:type="dxa"/>
            <w:right w:w="108" w:type="dxa"/>
          </w:tblCellMar>
        </w:tblPrEx>
        <w:trPr>
          <w:trHeight w:val="62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计费系统一年维保服务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现有设备数量和型号：1 台城市热点 Dr.com 2166计费系统</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1、服务期内提供计费系统厂商维保服务，本次维保服务范围包括：技术支持服务，电话咨询服务，硬件备件服务，培训服务。提供原厂商服务时间 365 天，7×10 小时上门服务，不接受节假日限制。</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2、采购产品/系统出现故障或运行不正常时，在8小时内确认故障，24小时内解决故障，若在现场无法立即解决故障时，需在不影响关键业务的前提下，对故障部分做应急处理，同时承诺尽快解决故障。</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3、服务期内原厂工程师每季度对系统进行巡检1次，确保系统正常运行。</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4、服务期内提供含远程技术支持、维护性软件版本支持服务。</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5、★合同签订后一周可通过官方热线查询设备的维保信息。（投标文件中需提供承诺函，格式自拟，加盖投标人电子签章或公章）</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r>
      <w:tr>
        <w:tblPrEx>
          <w:tblCellMar>
            <w:top w:w="0" w:type="dxa"/>
            <w:left w:w="108" w:type="dxa"/>
            <w:bottom w:w="0" w:type="dxa"/>
            <w:right w:w="108" w:type="dxa"/>
          </w:tblCellMar>
        </w:tblPrEx>
        <w:trPr>
          <w:trHeight w:val="58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无感知认证系统一年维保服务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现有设备数量和型号：1 台城市热点 Dr.com 2099无感知认证系统</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1、服务期内提供无感知认证系统厂商维保服务，本次维保服务范围包括：技术支持服务，电话咨询服务，硬件备件服务，培训服务。提供原厂商服务时间 365 天，7×10 小时上门服务，不接受节假日限制。</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2、采购产品/系统出现故障或运行不正常时，在8小时内确认故障，24小时内解决故障，若在现场无法立即解决故障时，需在不影响关键业务的前提下，对故障部分做应急处理，同时承诺尽快解决故障。</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3、服务期内原厂工程师每季度对系统进行巡检1次，确保系统正常运行。</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4、服务期内提供含远程技术支持、维护性软件版本支持服务。</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5、★合同签订后一周可通过官方热线查询设备的维保信息。（投标文件中需提供承诺函，格式自拟，加盖投标人电子签章或公章）</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r>
      <w:tr>
        <w:tblPrEx>
          <w:tblCellMar>
            <w:top w:w="0" w:type="dxa"/>
            <w:left w:w="108" w:type="dxa"/>
            <w:bottom w:w="0" w:type="dxa"/>
            <w:right w:w="108" w:type="dxa"/>
          </w:tblCellMar>
        </w:tblPrEx>
        <w:trPr>
          <w:trHeight w:val="55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kern w:val="0"/>
                <w:sz w:val="24"/>
                <w:lang w:bidi="ar"/>
              </w:rPr>
              <w:t>展示大厅一年维保服务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服务期内提供展示大厅一年维保服务，包含18块拼接屏、矩阵系统、86寸液晶显示屏维修、备件。</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服务期内接到采购人设备故障通知后，2小时内到达现场，4小时内解决问题（如果现场不能修复，将给出解决方案）；设备故障48 小时内提供备件并进行维修更换，更换备件（电池除外）以及其他一切费用均包含在合同金额内。</w:t>
            </w:r>
          </w:p>
          <w:p>
            <w:pPr>
              <w:widowControl/>
              <w:numPr>
                <w:ilvl w:val="0"/>
                <w:numId w:val="1"/>
              </w:numPr>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服务期内供应商每季度巡检1次，包括但不限于检查大屏幕的电源系统、显示屏幕、控制系统、机械结构等，确保大屏正常使用。</w:t>
            </w:r>
          </w:p>
          <w:p>
            <w:pPr>
              <w:widowControl/>
              <w:numPr>
                <w:ilvl w:val="0"/>
                <w:numId w:val="1"/>
              </w:numPr>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服务期内需定期对设备进行固件升级，及时更新操作系统和驱动程序。</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4、服务期内提供 7×10 小时上门服务，不接受节假日限制，提供 7×24 远程问题处理。</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r>
      <w:tr>
        <w:tblPrEx>
          <w:tblCellMar>
            <w:top w:w="0" w:type="dxa"/>
            <w:left w:w="108" w:type="dxa"/>
            <w:bottom w:w="0" w:type="dxa"/>
            <w:right w:w="108" w:type="dxa"/>
          </w:tblCellMar>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网上阅卷系统一年维保服务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1、服务期内提供网上阅卷系统一年维保服务。包含网上巡查系统、32 台高清摄像头、高考阅卷时期现场人员驻点服务。</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2、提供 7×10 小时上门服务，不接受节假日限制，提供 7×24 远程问题处理。</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r>
      <w:tr>
        <w:tblPrEx>
          <w:tblCellMar>
            <w:top w:w="0" w:type="dxa"/>
            <w:left w:w="108" w:type="dxa"/>
            <w:bottom w:w="0" w:type="dxa"/>
            <w:right w:w="108" w:type="dxa"/>
          </w:tblCellMar>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高清视频系统一年维保服务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2"/>
              </w:numPr>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服务期内提供高清视频系统一年维保服务，包含视频会议终端、视频会议摄像头、无线会议话筒维修、备件。</w:t>
            </w:r>
          </w:p>
          <w:p>
            <w:pPr>
              <w:widowControl/>
              <w:numPr>
                <w:ilvl w:val="0"/>
                <w:numId w:val="2"/>
              </w:numPr>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服务期内接到采购人设备故障通知后，2小时内到达现场，4小时内解决问题（如果现场不能修复，将给出解决方案）；设备故障48 小时内提供备件并进行维修更换，更换备件（电池除外）以及其他一切费用均包含在合同金额内。</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3、服务期内每季度对系统进行巡检1次，包括但不限于硬件设备检查与维护，系统软件更新，网络连接情况检查等，并提供巡检报告。</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4、提供 7×10 小时上门服务，不接受节假日限制，提供 7×24 远程问题处理。</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r>
      <w:tr>
        <w:tblPrEx>
          <w:tblCellMar>
            <w:top w:w="0" w:type="dxa"/>
            <w:left w:w="108" w:type="dxa"/>
            <w:bottom w:w="0" w:type="dxa"/>
            <w:right w:w="108" w:type="dxa"/>
          </w:tblCellMar>
        </w:tblPrEx>
        <w:trPr>
          <w:trHeight w:val="7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中心机房消防系统一年维保服务</w:t>
            </w:r>
          </w:p>
        </w:tc>
        <w:tc>
          <w:tcPr>
            <w:tcW w:w="3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1、服务期内提供数据中心机房消防报警联动系统及七氟丙烷气体灭火系统一年维保服务。包含一年至少 4次巡检，每季度不低于1次；巡检范围包括但不限于：火灾报警控制器、气体灭火控制器、烟感探测器、温感探测器、灭火剂瓶组、七氟丙烷灭火剂、排烟机等；巡检发现问题及时进行维修处理（报价含更换设备的安装施工费用，需更换的设备及材料费用不包含在内）。</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2、维保服务期最后1个月内需对中心机房的消防功能进行第三方有权机构的检测并出具检测报告。</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r>
    </w:tbl>
    <w:p>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1．投标人必须书面承诺是否满足以上招标参数。</w:t>
      </w:r>
    </w:p>
    <w:p>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（三）人员配备及服务要求</w:t>
      </w:r>
    </w:p>
    <w:p>
      <w:pPr>
        <w:adjustRightInd w:val="0"/>
        <w:snapToGrid w:val="0"/>
        <w:spacing w:line="560" w:lineRule="exact"/>
        <w:ind w:firstLine="562" w:firstLineChars="200"/>
        <w:rPr>
          <w:rFonts w:ascii="仿宋" w:hAnsi="仿宋" w:eastAsia="仿宋" w:cs="仿宋"/>
          <w:b/>
          <w:bCs/>
          <w:sz w:val="28"/>
          <w:szCs w:val="28"/>
        </w:rPr>
      </w:pPr>
      <w:r>
        <w:rPr>
          <w:rFonts w:hint="eastAsia" w:ascii="仿宋" w:hAnsi="仿宋" w:eastAsia="仿宋" w:cs="仿宋"/>
          <w:b/>
          <w:sz w:val="28"/>
          <w:szCs w:val="28"/>
        </w:rPr>
        <w:t>1</w:t>
      </w:r>
      <w:r>
        <w:rPr>
          <w:rFonts w:hint="eastAsia" w:ascii="仿宋" w:hAnsi="仿宋" w:eastAsia="仿宋" w:cs="仿宋"/>
          <w:sz w:val="28"/>
          <w:szCs w:val="28"/>
        </w:rPr>
        <w:t>.投标人根据必须为本项目配备相关专业人员</w:t>
      </w:r>
      <w:r>
        <w:rPr>
          <w:rFonts w:hint="eastAsia" w:ascii="仿宋" w:hAnsi="仿宋" w:eastAsia="仿宋" w:cs="仿宋"/>
          <w:b/>
          <w:bCs/>
          <w:sz w:val="28"/>
          <w:szCs w:val="28"/>
        </w:rPr>
        <w:t>（基本配备人员不少于</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人）：</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415"/>
        <w:gridCol w:w="1265"/>
        <w:gridCol w:w="1691"/>
        <w:gridCol w:w="1364"/>
        <w:gridCol w:w="1067"/>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92" w:type="pct"/>
            <w:vAlign w:val="center"/>
          </w:tcPr>
          <w:p>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序号</w:t>
            </w:r>
          </w:p>
        </w:tc>
        <w:tc>
          <w:tcPr>
            <w:tcW w:w="830" w:type="pct"/>
            <w:vAlign w:val="center"/>
          </w:tcPr>
          <w:p>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职务</w:t>
            </w:r>
          </w:p>
        </w:tc>
        <w:tc>
          <w:tcPr>
            <w:tcW w:w="742" w:type="pct"/>
            <w:vAlign w:val="center"/>
          </w:tcPr>
          <w:p>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基本配备人数</w:t>
            </w:r>
          </w:p>
        </w:tc>
        <w:tc>
          <w:tcPr>
            <w:tcW w:w="992" w:type="pct"/>
            <w:vAlign w:val="center"/>
          </w:tcPr>
          <w:p>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注册证书</w:t>
            </w:r>
          </w:p>
        </w:tc>
        <w:tc>
          <w:tcPr>
            <w:tcW w:w="800" w:type="pct"/>
            <w:vAlign w:val="center"/>
          </w:tcPr>
          <w:p>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专业</w:t>
            </w:r>
          </w:p>
        </w:tc>
        <w:tc>
          <w:tcPr>
            <w:tcW w:w="626" w:type="pct"/>
            <w:vAlign w:val="center"/>
          </w:tcPr>
          <w:p>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等级</w:t>
            </w:r>
          </w:p>
        </w:tc>
        <w:tc>
          <w:tcPr>
            <w:tcW w:w="616" w:type="pct"/>
            <w:vAlign w:val="center"/>
          </w:tcPr>
          <w:p>
            <w:pPr>
              <w:adjustRightInd w:val="0"/>
              <w:snapToGrid w:val="0"/>
              <w:spacing w:line="560" w:lineRule="exact"/>
              <w:jc w:val="center"/>
              <w:rPr>
                <w:rFonts w:ascii="仿宋" w:hAnsi="仿宋" w:eastAsia="仿宋" w:cs="方正仿宋_GB2312"/>
                <w:b/>
                <w:bCs/>
                <w:sz w:val="24"/>
                <w:lang w:val="zh-CN"/>
              </w:rPr>
            </w:pPr>
            <w:r>
              <w:rPr>
                <w:rFonts w:hint="eastAsia" w:ascii="仿宋" w:hAnsi="仿宋" w:eastAsia="仿宋" w:cs="方正仿宋_GB2312"/>
                <w:b/>
                <w:bCs/>
                <w:sz w:val="24"/>
                <w:lang w:val="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92" w:type="pct"/>
            <w:vAlign w:val="center"/>
          </w:tcPr>
          <w:p>
            <w:pPr>
              <w:adjustRightInd w:val="0"/>
              <w:snapToGrid w:val="0"/>
              <w:spacing w:line="560" w:lineRule="exact"/>
              <w:jc w:val="center"/>
              <w:rPr>
                <w:rFonts w:ascii="仿宋" w:hAnsi="仿宋" w:eastAsia="仿宋" w:cs="方正仿宋_GB2312"/>
                <w:sz w:val="24"/>
              </w:rPr>
            </w:pPr>
            <w:r>
              <w:rPr>
                <w:rFonts w:hint="eastAsia" w:ascii="仿宋" w:hAnsi="仿宋" w:eastAsia="仿宋" w:cs="方正仿宋_GB2312"/>
                <w:sz w:val="24"/>
              </w:rPr>
              <w:t>1</w:t>
            </w:r>
          </w:p>
        </w:tc>
        <w:tc>
          <w:tcPr>
            <w:tcW w:w="830" w:type="pct"/>
            <w:vAlign w:val="center"/>
          </w:tcPr>
          <w:p>
            <w:pPr>
              <w:adjustRightInd w:val="0"/>
              <w:snapToGrid w:val="0"/>
              <w:spacing w:line="560" w:lineRule="exact"/>
              <w:jc w:val="center"/>
              <w:rPr>
                <w:rFonts w:ascii="仿宋" w:hAnsi="仿宋" w:eastAsia="仿宋" w:cs="仿宋"/>
                <w:sz w:val="24"/>
              </w:rPr>
            </w:pPr>
          </w:p>
        </w:tc>
        <w:tc>
          <w:tcPr>
            <w:tcW w:w="742" w:type="pct"/>
            <w:vAlign w:val="center"/>
          </w:tcPr>
          <w:p>
            <w:pPr>
              <w:adjustRightInd w:val="0"/>
              <w:snapToGrid w:val="0"/>
              <w:spacing w:line="560" w:lineRule="exact"/>
              <w:jc w:val="center"/>
              <w:rPr>
                <w:rFonts w:ascii="仿宋" w:hAnsi="仿宋" w:eastAsia="仿宋" w:cs="仿宋"/>
                <w:sz w:val="24"/>
              </w:rPr>
            </w:pPr>
          </w:p>
        </w:tc>
        <w:tc>
          <w:tcPr>
            <w:tcW w:w="992" w:type="pct"/>
            <w:vAlign w:val="center"/>
          </w:tcPr>
          <w:p>
            <w:pPr>
              <w:adjustRightInd w:val="0"/>
              <w:snapToGrid w:val="0"/>
              <w:spacing w:line="560" w:lineRule="exact"/>
              <w:jc w:val="center"/>
              <w:rPr>
                <w:rFonts w:ascii="仿宋" w:hAnsi="仿宋" w:eastAsia="仿宋" w:cs="仿宋"/>
                <w:sz w:val="24"/>
                <w:lang w:val="zh-CN"/>
              </w:rPr>
            </w:pPr>
          </w:p>
        </w:tc>
        <w:tc>
          <w:tcPr>
            <w:tcW w:w="800" w:type="pct"/>
            <w:vAlign w:val="center"/>
          </w:tcPr>
          <w:p>
            <w:pPr>
              <w:adjustRightInd w:val="0"/>
              <w:snapToGrid w:val="0"/>
              <w:spacing w:line="560" w:lineRule="exact"/>
              <w:jc w:val="center"/>
              <w:rPr>
                <w:rFonts w:ascii="仿宋" w:hAnsi="仿宋" w:eastAsia="仿宋" w:cs="仿宋"/>
                <w:sz w:val="24"/>
                <w:lang w:val="zh-CN"/>
              </w:rPr>
            </w:pPr>
          </w:p>
        </w:tc>
        <w:tc>
          <w:tcPr>
            <w:tcW w:w="626" w:type="pct"/>
            <w:vAlign w:val="center"/>
          </w:tcPr>
          <w:p>
            <w:pPr>
              <w:adjustRightInd w:val="0"/>
              <w:snapToGrid w:val="0"/>
              <w:spacing w:line="560" w:lineRule="exact"/>
              <w:jc w:val="center"/>
              <w:rPr>
                <w:rFonts w:ascii="仿宋" w:hAnsi="仿宋" w:eastAsia="仿宋" w:cs="方正仿宋_GB2312"/>
                <w:sz w:val="24"/>
              </w:rPr>
            </w:pPr>
          </w:p>
        </w:tc>
        <w:tc>
          <w:tcPr>
            <w:tcW w:w="616" w:type="pct"/>
            <w:vAlign w:val="center"/>
          </w:tcPr>
          <w:p>
            <w:pPr>
              <w:adjustRightInd w:val="0"/>
              <w:snapToGrid w:val="0"/>
              <w:spacing w:line="560" w:lineRule="exact"/>
              <w:jc w:val="center"/>
              <w:rPr>
                <w:rFonts w:ascii="仿宋" w:hAnsi="仿宋" w:eastAsia="仿宋" w:cs="方正仿宋_GB2312"/>
                <w:sz w:val="24"/>
              </w:rPr>
            </w:pPr>
            <w:r>
              <w:rPr>
                <w:rFonts w:hint="eastAsia" w:ascii="仿宋" w:hAnsi="仿宋" w:eastAsia="仿宋" w:cs="方正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92" w:type="pct"/>
            <w:vAlign w:val="center"/>
          </w:tcPr>
          <w:p>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2</w:t>
            </w:r>
          </w:p>
        </w:tc>
        <w:tc>
          <w:tcPr>
            <w:tcW w:w="830" w:type="pct"/>
            <w:vAlign w:val="center"/>
          </w:tcPr>
          <w:p>
            <w:pPr>
              <w:adjustRightInd w:val="0"/>
              <w:snapToGrid w:val="0"/>
              <w:spacing w:line="560" w:lineRule="exact"/>
              <w:jc w:val="center"/>
              <w:rPr>
                <w:rFonts w:ascii="仿宋" w:hAnsi="仿宋" w:eastAsia="仿宋" w:cs="仿宋"/>
                <w:sz w:val="24"/>
              </w:rPr>
            </w:pPr>
          </w:p>
        </w:tc>
        <w:tc>
          <w:tcPr>
            <w:tcW w:w="742" w:type="pct"/>
            <w:vAlign w:val="center"/>
          </w:tcPr>
          <w:p>
            <w:pPr>
              <w:adjustRightInd w:val="0"/>
              <w:snapToGrid w:val="0"/>
              <w:spacing w:line="560" w:lineRule="exact"/>
              <w:jc w:val="center"/>
              <w:rPr>
                <w:rFonts w:ascii="仿宋" w:hAnsi="仿宋" w:eastAsia="仿宋" w:cs="仿宋"/>
                <w:sz w:val="24"/>
              </w:rPr>
            </w:pPr>
          </w:p>
        </w:tc>
        <w:tc>
          <w:tcPr>
            <w:tcW w:w="992" w:type="pct"/>
            <w:vAlign w:val="center"/>
          </w:tcPr>
          <w:p>
            <w:pPr>
              <w:adjustRightInd w:val="0"/>
              <w:snapToGrid w:val="0"/>
              <w:spacing w:line="560" w:lineRule="exact"/>
              <w:jc w:val="center"/>
              <w:rPr>
                <w:rFonts w:ascii="仿宋" w:hAnsi="仿宋" w:eastAsia="仿宋" w:cs="仿宋"/>
                <w:sz w:val="24"/>
                <w:lang w:val="zh-CN"/>
              </w:rPr>
            </w:pPr>
          </w:p>
        </w:tc>
        <w:tc>
          <w:tcPr>
            <w:tcW w:w="800" w:type="pct"/>
            <w:vAlign w:val="center"/>
          </w:tcPr>
          <w:p>
            <w:pPr>
              <w:adjustRightInd w:val="0"/>
              <w:snapToGrid w:val="0"/>
              <w:spacing w:line="560" w:lineRule="exact"/>
              <w:jc w:val="center"/>
              <w:rPr>
                <w:rFonts w:ascii="仿宋" w:hAnsi="仿宋" w:eastAsia="仿宋" w:cs="仿宋"/>
                <w:sz w:val="24"/>
                <w:lang w:val="zh-CN"/>
              </w:rPr>
            </w:pPr>
          </w:p>
        </w:tc>
        <w:tc>
          <w:tcPr>
            <w:tcW w:w="626" w:type="pct"/>
            <w:vAlign w:val="center"/>
          </w:tcPr>
          <w:p>
            <w:pPr>
              <w:adjustRightInd w:val="0"/>
              <w:snapToGrid w:val="0"/>
              <w:spacing w:line="560" w:lineRule="exact"/>
              <w:jc w:val="center"/>
              <w:rPr>
                <w:rFonts w:ascii="仿宋" w:hAnsi="仿宋" w:eastAsia="仿宋" w:cs="仿宋"/>
                <w:sz w:val="24"/>
                <w:lang w:val="zh-CN"/>
              </w:rPr>
            </w:pPr>
          </w:p>
        </w:tc>
        <w:tc>
          <w:tcPr>
            <w:tcW w:w="616" w:type="pct"/>
            <w:vAlign w:val="center"/>
          </w:tcPr>
          <w:p>
            <w:pPr>
              <w:adjustRightInd w:val="0"/>
              <w:snapToGrid w:val="0"/>
              <w:spacing w:line="560" w:lineRule="exact"/>
              <w:jc w:val="center"/>
              <w:rPr>
                <w:rFonts w:ascii="仿宋" w:hAnsi="仿宋" w:eastAsia="仿宋" w:cs="仿宋"/>
                <w:sz w:val="24"/>
                <w:lang w:val="zh-CN"/>
              </w:rPr>
            </w:pP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2" w:type="pct"/>
            <w:vAlign w:val="center"/>
          </w:tcPr>
          <w:p>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3</w:t>
            </w:r>
          </w:p>
        </w:tc>
        <w:tc>
          <w:tcPr>
            <w:tcW w:w="830" w:type="pct"/>
            <w:vAlign w:val="center"/>
          </w:tcPr>
          <w:p>
            <w:pPr>
              <w:adjustRightInd w:val="0"/>
              <w:snapToGrid w:val="0"/>
              <w:spacing w:line="560" w:lineRule="exact"/>
              <w:jc w:val="center"/>
              <w:rPr>
                <w:rFonts w:ascii="仿宋" w:hAnsi="仿宋" w:eastAsia="仿宋" w:cs="仿宋"/>
                <w:sz w:val="24"/>
              </w:rPr>
            </w:pPr>
          </w:p>
        </w:tc>
        <w:tc>
          <w:tcPr>
            <w:tcW w:w="742" w:type="pct"/>
            <w:vAlign w:val="center"/>
          </w:tcPr>
          <w:p>
            <w:pPr>
              <w:adjustRightInd w:val="0"/>
              <w:snapToGrid w:val="0"/>
              <w:spacing w:line="560" w:lineRule="exact"/>
              <w:jc w:val="center"/>
              <w:rPr>
                <w:rFonts w:ascii="仿宋" w:hAnsi="仿宋" w:eastAsia="仿宋" w:cs="仿宋"/>
                <w:sz w:val="24"/>
              </w:rPr>
            </w:pPr>
          </w:p>
        </w:tc>
        <w:tc>
          <w:tcPr>
            <w:tcW w:w="992" w:type="pct"/>
            <w:vAlign w:val="center"/>
          </w:tcPr>
          <w:p>
            <w:pPr>
              <w:adjustRightInd w:val="0"/>
              <w:snapToGrid w:val="0"/>
              <w:spacing w:line="560" w:lineRule="exact"/>
              <w:jc w:val="center"/>
              <w:rPr>
                <w:rFonts w:ascii="仿宋" w:hAnsi="仿宋" w:eastAsia="仿宋" w:cs="仿宋"/>
                <w:sz w:val="24"/>
                <w:lang w:val="zh-CN"/>
              </w:rPr>
            </w:pPr>
          </w:p>
        </w:tc>
        <w:tc>
          <w:tcPr>
            <w:tcW w:w="800" w:type="pct"/>
            <w:vAlign w:val="center"/>
          </w:tcPr>
          <w:p>
            <w:pPr>
              <w:adjustRightInd w:val="0"/>
              <w:snapToGrid w:val="0"/>
              <w:spacing w:line="560" w:lineRule="exact"/>
              <w:jc w:val="center"/>
              <w:rPr>
                <w:rFonts w:ascii="仿宋" w:hAnsi="仿宋" w:eastAsia="仿宋" w:cs="仿宋"/>
                <w:sz w:val="24"/>
              </w:rPr>
            </w:pPr>
          </w:p>
        </w:tc>
        <w:tc>
          <w:tcPr>
            <w:tcW w:w="626" w:type="pct"/>
            <w:vAlign w:val="center"/>
          </w:tcPr>
          <w:p>
            <w:pPr>
              <w:adjustRightInd w:val="0"/>
              <w:snapToGrid w:val="0"/>
              <w:spacing w:line="560" w:lineRule="exact"/>
              <w:jc w:val="center"/>
              <w:rPr>
                <w:rFonts w:ascii="仿宋" w:hAnsi="仿宋" w:eastAsia="仿宋" w:cs="仿宋"/>
                <w:sz w:val="24"/>
                <w:lang w:val="zh-CN"/>
              </w:rPr>
            </w:pPr>
          </w:p>
        </w:tc>
        <w:tc>
          <w:tcPr>
            <w:tcW w:w="616" w:type="pct"/>
            <w:vAlign w:val="center"/>
          </w:tcPr>
          <w:p>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pPr>
              <w:adjustRightInd w:val="0"/>
              <w:snapToGrid w:val="0"/>
              <w:jc w:val="left"/>
              <w:rPr>
                <w:rFonts w:ascii="仿宋" w:hAnsi="仿宋" w:eastAsia="仿宋" w:cs="方正仿宋_GB2312"/>
                <w:b/>
                <w:sz w:val="24"/>
              </w:rPr>
            </w:pPr>
            <w:r>
              <w:rPr>
                <w:rFonts w:hint="eastAsia" w:ascii="仿宋" w:hAnsi="仿宋" w:eastAsia="仿宋" w:cs="方正仿宋_GB2312"/>
                <w:b/>
                <w:sz w:val="24"/>
              </w:rPr>
              <w:t>注：</w:t>
            </w:r>
          </w:p>
          <w:p>
            <w:pPr>
              <w:adjustRightInd w:val="0"/>
              <w:snapToGrid w:val="0"/>
              <w:jc w:val="left"/>
              <w:rPr>
                <w:rFonts w:ascii="仿宋" w:hAnsi="仿宋" w:eastAsia="仿宋" w:cs="方正仿宋_GB2312"/>
                <w:b/>
                <w:sz w:val="24"/>
              </w:rPr>
            </w:pPr>
            <w:r>
              <w:rPr>
                <w:rFonts w:hint="eastAsia" w:ascii="仿宋" w:hAnsi="仿宋" w:eastAsia="仿宋" w:cs="方正仿宋_GB2312"/>
                <w:b/>
                <w:sz w:val="24"/>
              </w:rPr>
              <w:t>1.人员必须分别设置，不得交叉任职。</w:t>
            </w:r>
          </w:p>
          <w:p>
            <w:pPr>
              <w:adjustRightInd w:val="0"/>
              <w:snapToGrid w:val="0"/>
              <w:jc w:val="left"/>
              <w:rPr>
                <w:rFonts w:ascii="仿宋" w:hAnsi="仿宋" w:eastAsia="仿宋" w:cs="方正仿宋_GB2312"/>
                <w:sz w:val="24"/>
              </w:rPr>
            </w:pPr>
            <w:r>
              <w:rPr>
                <w:rFonts w:hint="eastAsia" w:ascii="仿宋" w:hAnsi="仿宋" w:eastAsia="仿宋" w:cs="方正仿宋_GB2312"/>
                <w:b/>
                <w:sz w:val="24"/>
              </w:rPr>
              <w:t>2.投标文件中须提供为本项目配备上述人员的证书及2024年1月1日以来，投标人为上述人员缴纳的任意连续3个月的社保证明材料（任意险种），否则作无效标处理。</w:t>
            </w:r>
          </w:p>
        </w:tc>
      </w:tr>
    </w:tbl>
    <w:p>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2.投标人必须书面承诺，所配备的人员，能到现场服务，否则作无效标处理。投标人应根据项目情况，配备相关专业人员（填写人员配备表）。</w:t>
      </w:r>
    </w:p>
    <w:p>
      <w:pPr>
        <w:pStyle w:val="6"/>
        <w:rPr>
          <w:rFonts w:ascii="仿宋" w:hAnsi="仿宋" w:eastAsia="仿宋" w:cs="仿宋"/>
          <w:b/>
          <w:bCs/>
          <w:sz w:val="28"/>
          <w:szCs w:val="28"/>
        </w:rPr>
      </w:pPr>
      <w:r>
        <w:rPr>
          <w:rFonts w:hint="eastAsia" w:ascii="仿宋" w:hAnsi="仿宋" w:eastAsia="仿宋" w:cs="仿宋"/>
          <w:b/>
          <w:bCs/>
          <w:sz w:val="28"/>
          <w:szCs w:val="28"/>
        </w:rPr>
        <w:t>（四）考核要求</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按照招标文件中要求开展的维保服务项目进行考核。</w:t>
      </w:r>
    </w:p>
    <w:p>
      <w:pPr>
        <w:pStyle w:val="6"/>
        <w:ind w:leftChars="200" w:firstLine="0"/>
        <w:rPr>
          <w:rFonts w:ascii="仿宋" w:hAnsi="仿宋" w:eastAsia="仿宋" w:cs="仿宋"/>
          <w:b/>
          <w:bCs/>
          <w:sz w:val="28"/>
          <w:szCs w:val="28"/>
        </w:rPr>
      </w:pPr>
      <w:r>
        <w:rPr>
          <w:rFonts w:hint="eastAsia" w:ascii="仿宋" w:hAnsi="仿宋" w:eastAsia="仿宋" w:cs="仿宋"/>
          <w:b/>
          <w:sz w:val="28"/>
          <w:szCs w:val="28"/>
        </w:rPr>
        <w:t>六、商务部分调研【各单</w:t>
      </w:r>
      <w:r>
        <w:rPr>
          <w:rFonts w:hint="eastAsia" w:ascii="仿宋" w:hAnsi="仿宋" w:eastAsia="仿宋" w:cs="仿宋"/>
          <w:b/>
          <w:bCs/>
          <w:sz w:val="28"/>
          <w:szCs w:val="28"/>
        </w:rPr>
        <w:t>位请根据本单位实际情况填写】</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1.投标人综合实力</w:t>
      </w:r>
    </w:p>
    <w:p>
      <w:pPr>
        <w:pStyle w:val="6"/>
        <w:spacing w:line="360" w:lineRule="auto"/>
        <w:ind w:left="0" w:firstLine="560" w:firstLineChars="200"/>
        <w:rPr>
          <w:rFonts w:ascii="仿宋" w:hAnsi="仿宋" w:eastAsia="仿宋" w:cs="仿宋"/>
          <w:sz w:val="28"/>
          <w:szCs w:val="28"/>
        </w:rPr>
      </w:pPr>
      <w:r>
        <w:rPr>
          <w:rFonts w:hint="eastAsia" w:ascii="仿宋" w:hAnsi="仿宋" w:eastAsia="仿宋" w:cs="仿宋"/>
          <w:sz w:val="28"/>
          <w:szCs w:val="28"/>
        </w:rPr>
        <w:t>（1）投标供应商具有电子与智能化工程专业承包资质</w:t>
      </w:r>
      <w:r>
        <w:rPr>
          <w:rFonts w:hint="eastAsia" w:ascii="仿宋" w:hAnsi="仿宋" w:eastAsia="仿宋" w:cs="仿宋"/>
          <w:sz w:val="28"/>
          <w:szCs w:val="28"/>
          <w:u w:val="single"/>
        </w:rPr>
        <w:t xml:space="preserve">    </w:t>
      </w:r>
      <w:r>
        <w:rPr>
          <w:rFonts w:hint="eastAsia" w:ascii="仿宋" w:hAnsi="仿宋" w:eastAsia="仿宋" w:cs="仿宋"/>
          <w:sz w:val="28"/>
          <w:szCs w:val="28"/>
        </w:rPr>
        <w:t>个。</w:t>
      </w:r>
    </w:p>
    <w:p>
      <w:pPr>
        <w:pStyle w:val="6"/>
        <w:spacing w:line="360" w:lineRule="auto"/>
        <w:ind w:left="0" w:firstLine="560" w:firstLineChars="200"/>
        <w:rPr>
          <w:rFonts w:ascii="仿宋" w:hAnsi="仿宋" w:eastAsia="仿宋" w:cs="仿宋"/>
          <w:sz w:val="28"/>
          <w:szCs w:val="28"/>
        </w:rPr>
      </w:pPr>
      <w:r>
        <w:rPr>
          <w:rFonts w:hint="eastAsia" w:ascii="仿宋" w:hAnsi="仿宋" w:eastAsia="仿宋" w:cs="仿宋"/>
          <w:sz w:val="28"/>
          <w:szCs w:val="28"/>
        </w:rPr>
        <w:t>（2）投标供应商具有政府部门或国内依法登记注册的协（学）会颁发的信息系统建设和服务能力类证书</w:t>
      </w:r>
      <w:r>
        <w:rPr>
          <w:rFonts w:hint="eastAsia" w:ascii="仿宋" w:hAnsi="仿宋" w:eastAsia="仿宋" w:cs="仿宋"/>
          <w:sz w:val="28"/>
          <w:szCs w:val="28"/>
          <w:u w:val="single"/>
        </w:rPr>
        <w:t xml:space="preserve">     </w:t>
      </w:r>
      <w:r>
        <w:rPr>
          <w:rFonts w:hint="eastAsia" w:ascii="仿宋" w:hAnsi="仿宋" w:eastAsia="仿宋" w:cs="仿宋"/>
          <w:sz w:val="28"/>
          <w:szCs w:val="28"/>
        </w:rPr>
        <w:t>个。</w:t>
      </w:r>
    </w:p>
    <w:p>
      <w:pPr>
        <w:pStyle w:val="6"/>
        <w:spacing w:line="360" w:lineRule="auto"/>
        <w:ind w:left="279" w:leftChars="133" w:firstLine="280" w:firstLineChars="100"/>
        <w:rPr>
          <w:rFonts w:ascii="仿宋" w:hAnsi="仿宋" w:eastAsia="仿宋" w:cs="仿宋"/>
          <w:sz w:val="28"/>
          <w:szCs w:val="28"/>
          <w:u w:val="single"/>
        </w:rPr>
      </w:pPr>
      <w:r>
        <w:rPr>
          <w:rFonts w:hint="eastAsia" w:ascii="仿宋" w:hAnsi="仿宋" w:eastAsia="仿宋" w:cs="仿宋"/>
          <w:sz w:val="28"/>
          <w:szCs w:val="28"/>
        </w:rPr>
        <w:t>（3）投标供应商具有CCRC信息安全服务（安全集成方向）资质</w:t>
      </w:r>
      <w:r>
        <w:rPr>
          <w:rFonts w:hint="eastAsia" w:ascii="仿宋" w:hAnsi="仿宋" w:eastAsia="仿宋" w:cs="仿宋"/>
          <w:sz w:val="28"/>
          <w:szCs w:val="28"/>
          <w:u w:val="single"/>
        </w:rPr>
        <w:t xml:space="preserve">    </w:t>
      </w:r>
    </w:p>
    <w:p>
      <w:pPr>
        <w:pStyle w:val="6"/>
        <w:spacing w:line="360" w:lineRule="auto"/>
        <w:ind w:left="0" w:firstLine="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个。</w:t>
      </w:r>
    </w:p>
    <w:p>
      <w:pPr>
        <w:pStyle w:val="6"/>
        <w:spacing w:line="360" w:lineRule="auto"/>
        <w:ind w:left="0" w:firstLine="560" w:firstLineChars="200"/>
        <w:rPr>
          <w:rFonts w:ascii="仿宋" w:hAnsi="仿宋" w:eastAsia="仿宋" w:cs="仿宋"/>
          <w:sz w:val="28"/>
          <w:szCs w:val="28"/>
        </w:rPr>
      </w:pPr>
      <w:r>
        <w:rPr>
          <w:rFonts w:hint="eastAsia" w:ascii="仿宋" w:hAnsi="仿宋" w:eastAsia="仿宋" w:cs="仿宋"/>
          <w:sz w:val="28"/>
          <w:szCs w:val="28"/>
        </w:rPr>
        <w:t>（4）投标供应商具有ITSS信息技术服务运行维护标准符合性证书的</w:t>
      </w:r>
      <w:r>
        <w:rPr>
          <w:rFonts w:hint="eastAsia" w:ascii="仿宋" w:hAnsi="仿宋" w:eastAsia="仿宋" w:cs="仿宋"/>
          <w:sz w:val="28"/>
          <w:szCs w:val="28"/>
          <w:u w:val="single"/>
        </w:rPr>
        <w:t xml:space="preserve">      </w:t>
      </w:r>
      <w:r>
        <w:rPr>
          <w:rFonts w:hint="eastAsia" w:ascii="仿宋" w:hAnsi="仿宋" w:eastAsia="仿宋" w:cs="仿宋"/>
          <w:sz w:val="28"/>
          <w:szCs w:val="28"/>
        </w:rPr>
        <w:t>个。</w:t>
      </w:r>
    </w:p>
    <w:p>
      <w:pPr>
        <w:ind w:firstLine="560" w:firstLineChars="200"/>
        <w:rPr>
          <w:rFonts w:ascii="仿宋" w:hAnsi="仿宋" w:eastAsia="仿宋" w:cs="仿宋"/>
          <w:sz w:val="28"/>
          <w:szCs w:val="28"/>
        </w:rPr>
      </w:pPr>
      <w:r>
        <w:rPr>
          <w:rFonts w:hint="eastAsia" w:ascii="仿宋" w:hAnsi="仿宋" w:eastAsia="仿宋" w:cs="仿宋"/>
          <w:sz w:val="28"/>
          <w:szCs w:val="28"/>
        </w:rPr>
        <w:t>2.服务团队成员资质</w:t>
      </w:r>
    </w:p>
    <w:p>
      <w:pPr>
        <w:pStyle w:val="6"/>
        <w:spacing w:line="360" w:lineRule="auto"/>
        <w:ind w:left="0" w:firstLine="560" w:firstLineChars="200"/>
        <w:rPr>
          <w:rFonts w:ascii="仿宋" w:hAnsi="仿宋" w:eastAsia="仿宋" w:cs="仿宋"/>
          <w:sz w:val="28"/>
          <w:szCs w:val="28"/>
        </w:rPr>
      </w:pPr>
      <w:r>
        <w:rPr>
          <w:rFonts w:hint="eastAsia" w:ascii="仿宋" w:hAnsi="仿宋" w:eastAsia="仿宋" w:cs="仿宋"/>
          <w:sz w:val="28"/>
          <w:szCs w:val="28"/>
        </w:rPr>
        <w:t>（1）投标供应商项目经理具有二级建造师（机电工程）证书或机电类中级及以上职称证书</w:t>
      </w:r>
      <w:r>
        <w:rPr>
          <w:rFonts w:hint="eastAsia" w:ascii="仿宋" w:hAnsi="仿宋" w:eastAsia="仿宋" w:cs="仿宋"/>
          <w:sz w:val="28"/>
          <w:szCs w:val="28"/>
          <w:u w:val="single"/>
        </w:rPr>
        <w:t xml:space="preserve">        </w:t>
      </w:r>
      <w:r>
        <w:rPr>
          <w:rFonts w:hint="eastAsia" w:ascii="仿宋" w:hAnsi="仿宋" w:eastAsia="仿宋" w:cs="仿宋"/>
          <w:sz w:val="28"/>
          <w:szCs w:val="28"/>
        </w:rPr>
        <w:t>个。</w:t>
      </w:r>
    </w:p>
    <w:p>
      <w:pPr>
        <w:pStyle w:val="6"/>
        <w:spacing w:line="360" w:lineRule="auto"/>
        <w:ind w:left="0" w:firstLine="560" w:firstLineChars="200"/>
        <w:rPr>
          <w:rFonts w:ascii="仿宋" w:hAnsi="仿宋" w:eastAsia="仿宋" w:cs="仿宋"/>
          <w:sz w:val="28"/>
          <w:szCs w:val="28"/>
        </w:rPr>
      </w:pPr>
      <w:r>
        <w:rPr>
          <w:rFonts w:hint="eastAsia" w:ascii="仿宋" w:hAnsi="仿宋" w:eastAsia="仿宋" w:cs="仿宋"/>
          <w:sz w:val="28"/>
          <w:szCs w:val="28"/>
        </w:rPr>
        <w:t>（2）投标供应商项目组成员具有CCRC安全集成方向的信息安全保障人员证书</w:t>
      </w:r>
      <w:r>
        <w:rPr>
          <w:rFonts w:hint="eastAsia" w:ascii="仿宋" w:hAnsi="仿宋" w:eastAsia="仿宋" w:cs="仿宋"/>
          <w:sz w:val="28"/>
          <w:szCs w:val="28"/>
          <w:u w:val="single"/>
        </w:rPr>
        <w:t xml:space="preserve">        </w:t>
      </w:r>
      <w:r>
        <w:rPr>
          <w:rFonts w:hint="eastAsia" w:ascii="仿宋" w:hAnsi="仿宋" w:eastAsia="仿宋" w:cs="仿宋"/>
          <w:sz w:val="28"/>
          <w:szCs w:val="28"/>
        </w:rPr>
        <w:t>个。</w:t>
      </w:r>
    </w:p>
    <w:p>
      <w:pPr>
        <w:pStyle w:val="6"/>
        <w:spacing w:line="360" w:lineRule="auto"/>
        <w:ind w:left="0" w:firstLine="560" w:firstLineChars="200"/>
        <w:rPr>
          <w:rFonts w:ascii="仿宋" w:hAnsi="仿宋" w:eastAsia="仿宋" w:cs="仿宋"/>
          <w:sz w:val="28"/>
          <w:szCs w:val="28"/>
        </w:rPr>
      </w:pPr>
      <w:r>
        <w:rPr>
          <w:rFonts w:hint="eastAsia" w:ascii="仿宋" w:hAnsi="仿宋" w:eastAsia="仿宋" w:cs="仿宋"/>
          <w:sz w:val="28"/>
          <w:szCs w:val="28"/>
        </w:rPr>
        <w:t>（3）投标供应商项目组成员具有ITSS运维服务工程师证书</w:t>
      </w:r>
    </w:p>
    <w:p>
      <w:pPr>
        <w:pStyle w:val="6"/>
        <w:spacing w:line="360" w:lineRule="auto"/>
        <w:ind w:left="0" w:firstLine="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个。</w:t>
      </w:r>
    </w:p>
    <w:p>
      <w:pPr>
        <w:ind w:firstLine="560" w:firstLineChars="200"/>
        <w:rPr>
          <w:rFonts w:ascii="仿宋" w:hAnsi="仿宋" w:eastAsia="仿宋" w:cs="仿宋"/>
          <w:sz w:val="28"/>
          <w:szCs w:val="28"/>
        </w:rPr>
      </w:pPr>
      <w:r>
        <w:rPr>
          <w:rFonts w:hint="eastAsia" w:ascii="仿宋" w:hAnsi="仿宋" w:eastAsia="仿宋" w:cs="仿宋"/>
          <w:sz w:val="28"/>
          <w:szCs w:val="28"/>
        </w:rPr>
        <w:t>3.投标人业绩</w:t>
      </w:r>
    </w:p>
    <w:p>
      <w:pPr>
        <w:pStyle w:val="6"/>
        <w:spacing w:line="360" w:lineRule="auto"/>
        <w:ind w:left="0" w:firstLine="560" w:firstLineChars="200"/>
        <w:rPr>
          <w:rFonts w:ascii="仿宋" w:hAnsi="仿宋" w:eastAsia="仿宋" w:cs="仿宋"/>
          <w:sz w:val="28"/>
          <w:szCs w:val="28"/>
        </w:rPr>
      </w:pPr>
      <w:r>
        <w:rPr>
          <w:rFonts w:hint="eastAsia" w:ascii="仿宋" w:hAnsi="仿宋" w:eastAsia="仿宋" w:cs="仿宋"/>
          <w:sz w:val="28"/>
          <w:szCs w:val="28"/>
        </w:rPr>
        <w:t>自2021年1月1日以来，投标供应商具有运维服务类或设备维保类相关项目业绩</w:t>
      </w:r>
      <w:r>
        <w:rPr>
          <w:rFonts w:hint="eastAsia" w:ascii="仿宋" w:hAnsi="仿宋" w:eastAsia="仿宋" w:cs="仿宋"/>
          <w:sz w:val="28"/>
          <w:szCs w:val="28"/>
          <w:u w:val="single"/>
        </w:rPr>
        <w:t xml:space="preserve">        </w:t>
      </w:r>
      <w:r>
        <w:rPr>
          <w:rFonts w:hint="eastAsia" w:ascii="仿宋" w:hAnsi="仿宋" w:eastAsia="仿宋" w:cs="仿宋"/>
          <w:sz w:val="28"/>
          <w:szCs w:val="28"/>
        </w:rPr>
        <w:t>个。</w:t>
      </w:r>
    </w:p>
    <w:p>
      <w:pPr>
        <w:pStyle w:val="6"/>
        <w:rPr>
          <w:rFonts w:ascii="仿宋" w:hAnsi="仿宋" w:eastAsia="仿宋" w:cs="仿宋"/>
          <w:sz w:val="28"/>
          <w:szCs w:val="28"/>
        </w:rPr>
      </w:pPr>
      <w:r>
        <w:rPr>
          <w:rFonts w:hint="eastAsia" w:ascii="仿宋" w:hAnsi="仿宋" w:eastAsia="仿宋" w:cs="仿宋"/>
          <w:b/>
          <w:bCs/>
          <w:sz w:val="28"/>
          <w:szCs w:val="28"/>
        </w:rPr>
        <w:t>七、其他方面的建议</w:t>
      </w:r>
    </w:p>
    <w:p>
      <w:pPr>
        <w:spacing w:line="360" w:lineRule="auto"/>
        <w:ind w:firstLine="560" w:firstLineChars="20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B9E19"/>
    <w:multiLevelType w:val="singleLevel"/>
    <w:tmpl w:val="EB2B9E19"/>
    <w:lvl w:ilvl="0" w:tentative="0">
      <w:start w:val="1"/>
      <w:numFmt w:val="decimal"/>
      <w:suff w:val="nothing"/>
      <w:lvlText w:val="%1、"/>
      <w:lvlJc w:val="left"/>
    </w:lvl>
  </w:abstractNum>
  <w:abstractNum w:abstractNumId="1">
    <w:nsid w:val="EB33BB19"/>
    <w:multiLevelType w:val="singleLevel"/>
    <w:tmpl w:val="EB33BB1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MDU0NjMxZWQ0YmRkMjAxNGY1ZTljZmJiYjExMGQifQ=="/>
  </w:docVars>
  <w:rsids>
    <w:rsidRoot w:val="00222E50"/>
    <w:rsid w:val="00065195"/>
    <w:rsid w:val="00222E50"/>
    <w:rsid w:val="002C5A62"/>
    <w:rsid w:val="007E1281"/>
    <w:rsid w:val="00B66ACB"/>
    <w:rsid w:val="00CC1CF5"/>
    <w:rsid w:val="00D74F50"/>
    <w:rsid w:val="05364797"/>
    <w:rsid w:val="08114BF3"/>
    <w:rsid w:val="09121ED9"/>
    <w:rsid w:val="0954361A"/>
    <w:rsid w:val="0A960E3D"/>
    <w:rsid w:val="0C523D2B"/>
    <w:rsid w:val="0E8A515C"/>
    <w:rsid w:val="10753E24"/>
    <w:rsid w:val="110C5D35"/>
    <w:rsid w:val="135E2C79"/>
    <w:rsid w:val="19744A3F"/>
    <w:rsid w:val="1A345566"/>
    <w:rsid w:val="1A52463A"/>
    <w:rsid w:val="1A8448EE"/>
    <w:rsid w:val="1B421536"/>
    <w:rsid w:val="1C5B1EE6"/>
    <w:rsid w:val="1D1B6AD0"/>
    <w:rsid w:val="1EA8401C"/>
    <w:rsid w:val="1F494152"/>
    <w:rsid w:val="20E6598F"/>
    <w:rsid w:val="276A612A"/>
    <w:rsid w:val="297B1E59"/>
    <w:rsid w:val="2C7072A9"/>
    <w:rsid w:val="2E6647A7"/>
    <w:rsid w:val="35597A60"/>
    <w:rsid w:val="35801486"/>
    <w:rsid w:val="36362F59"/>
    <w:rsid w:val="380674CE"/>
    <w:rsid w:val="3BB80C52"/>
    <w:rsid w:val="3D007EC3"/>
    <w:rsid w:val="3E7E4551"/>
    <w:rsid w:val="42491FBA"/>
    <w:rsid w:val="43043D8C"/>
    <w:rsid w:val="45621944"/>
    <w:rsid w:val="45F12DF0"/>
    <w:rsid w:val="48040D0B"/>
    <w:rsid w:val="510E0CFA"/>
    <w:rsid w:val="55672339"/>
    <w:rsid w:val="5DA31FC6"/>
    <w:rsid w:val="63112227"/>
    <w:rsid w:val="68F24043"/>
    <w:rsid w:val="6BA44B8B"/>
    <w:rsid w:val="6C353187"/>
    <w:rsid w:val="6C6F33D9"/>
    <w:rsid w:val="72C306E6"/>
    <w:rsid w:val="72E225EB"/>
    <w:rsid w:val="73351CBE"/>
    <w:rsid w:val="77AA4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660"/>
    </w:pPr>
    <w:rPr>
      <w:rFonts w:ascii="微软简标宋" w:hAnsi="微软简标宋"/>
      <w:color w:val="000000"/>
      <w:sz w:val="24"/>
    </w:rPr>
  </w:style>
  <w:style w:type="paragraph" w:styleId="3">
    <w:name w:val="envelope return"/>
    <w:basedOn w:val="1"/>
    <w:qFormat/>
    <w:uiPriority w:val="0"/>
    <w:pPr>
      <w:snapToGrid w:val="0"/>
    </w:pPr>
    <w:rPr>
      <w:rFonts w:ascii="Arial" w:hAnsi="Arial"/>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1"/>
    <w:qFormat/>
    <w:uiPriority w:val="0"/>
    <w:pPr>
      <w:ind w:left="420" w:firstLine="420"/>
    </w:p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rPr>
      <w:szCs w:val="22"/>
    </w:rPr>
  </w:style>
  <w:style w:type="character" w:customStyle="1" w:styleId="11">
    <w:name w:val="页眉 字符"/>
    <w:basedOn w:val="8"/>
    <w:link w:val="5"/>
    <w:uiPriority w:val="0"/>
    <w:rPr>
      <w:kern w:val="2"/>
      <w:sz w:val="18"/>
      <w:szCs w:val="18"/>
    </w:rPr>
  </w:style>
  <w:style w:type="character" w:customStyle="1" w:styleId="12">
    <w:name w:val="页脚 字符"/>
    <w:basedOn w:val="8"/>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9</Pages>
  <Words>965</Words>
  <Characters>5502</Characters>
  <Lines>45</Lines>
  <Paragraphs>12</Paragraphs>
  <TotalTime>10</TotalTime>
  <ScaleCrop>false</ScaleCrop>
  <LinksUpToDate>false</LinksUpToDate>
  <CharactersWithSpaces>6455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2024-05-31T06:51:00Z</dcterms:created>
  <dc:creator>Administrator</dc:creator>
  <cp:lastModifiedBy>李超</cp:lastModifiedBy>
  <dcterms:modified xsi:type="dcterms:W3CDTF">2024-07-04T06:32:39Z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19A006D1F9A24729BC337A29D8D0732E_13</vt:lpwstr>
  </property>
</Properties>
</file>