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ascii="仿宋_GB2312" w:hAnsi="黑体" w:eastAsia="仿宋_GB2312" w:cs="仿宋_GB2312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仿宋_GB2312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附件3：</w:t>
      </w:r>
    </w:p>
    <w:p>
      <w:pPr>
        <w:spacing w:line="580" w:lineRule="exact"/>
        <w:jc w:val="center"/>
        <w:rPr>
          <w:rFonts w:ascii="宋体" w:hAnsi="宋体" w:eastAsia="宋体" w:cs="方正小标宋_GBK"/>
          <w:b/>
          <w:bCs/>
          <w:sz w:val="36"/>
          <w:szCs w:val="36"/>
          <w:lang w:bidi="ar"/>
        </w:rPr>
      </w:pPr>
      <w:r>
        <w:rPr>
          <w:rFonts w:hint="eastAsia" w:ascii="宋体" w:hAnsi="宋体" w:eastAsia="宋体" w:cs="方正小标宋_GBK"/>
          <w:b/>
          <w:bCs/>
          <w:sz w:val="36"/>
          <w:szCs w:val="36"/>
          <w:lang w:bidi="ar"/>
        </w:rPr>
        <w:t>202</w:t>
      </w:r>
      <w:r>
        <w:rPr>
          <w:rFonts w:ascii="宋体" w:hAnsi="宋体" w:eastAsia="宋体" w:cs="方正小标宋_GBK"/>
          <w:b/>
          <w:bCs/>
          <w:sz w:val="36"/>
          <w:szCs w:val="36"/>
          <w:lang w:bidi="ar"/>
        </w:rPr>
        <w:t>2</w:t>
      </w:r>
      <w:r>
        <w:rPr>
          <w:rFonts w:hint="eastAsia" w:ascii="宋体" w:hAnsi="宋体" w:eastAsia="宋体" w:cs="方正小标宋_GBK"/>
          <w:b/>
          <w:bCs/>
          <w:sz w:val="36"/>
          <w:szCs w:val="36"/>
          <w:lang w:bidi="ar"/>
        </w:rPr>
        <w:t>届本科毕业设计（论文）检查情况记录表</w:t>
      </w:r>
    </w:p>
    <w:p/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姓名： </w:t>
      </w:r>
      <w:r>
        <w:rPr>
          <w:rFonts w:ascii="宋体" w:hAnsi="宋体" w:eastAsia="宋体"/>
          <w:b/>
          <w:sz w:val="24"/>
          <w:szCs w:val="24"/>
        </w:rPr>
        <w:t xml:space="preserve">    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学号： </w:t>
      </w:r>
      <w:r>
        <w:rPr>
          <w:rFonts w:ascii="宋体" w:hAnsi="宋体" w:eastAsia="宋体"/>
          <w:b/>
          <w:sz w:val="24"/>
          <w:szCs w:val="24"/>
        </w:rPr>
        <w:t xml:space="preserve">        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行政班： </w:t>
      </w:r>
      <w:r>
        <w:rPr>
          <w:rFonts w:ascii="宋体" w:hAnsi="宋体" w:eastAsia="宋体"/>
          <w:b/>
          <w:sz w:val="24"/>
          <w:szCs w:val="24"/>
        </w:rPr>
        <w:t xml:space="preserve">                        </w:t>
      </w:r>
      <w:r>
        <w:rPr>
          <w:rFonts w:hint="eastAsia" w:ascii="宋体" w:hAnsi="宋体" w:eastAsia="宋体"/>
          <w:b/>
          <w:sz w:val="24"/>
          <w:szCs w:val="24"/>
        </w:rPr>
        <w:t>指导教师：</w:t>
      </w:r>
    </w:p>
    <w:tbl>
      <w:tblPr>
        <w:tblStyle w:val="3"/>
        <w:tblW w:w="15301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18"/>
        <w:gridCol w:w="5670"/>
        <w:gridCol w:w="694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6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一级指标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二级指标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评议要素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情况记录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否决性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政治方向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有违背党和国家相关政策方针、法律法规，或违背社会主义核心价值观、立德树人要求，或其它违背社会公序良俗的内容。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学术诚信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出现抄袭、剽窃、伪造、篡改、买卖、代写等学术不端行为。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选题意义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选题目的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符合专业培养目标，体现综合训练基本要求。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研究意义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面向所在专业领域学术问题或行业社会实际问题，有一定的理论或实用价值。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学术规范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行文规范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文字表达、书写格式、图表（图纸）、公式符号、缩略词等方面符合通行学术规范。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引用规范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在资料引证、参考文献等方面符合通行学术规范和知识产权相关规定。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逻辑构建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层次体系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体系完整，层次分明，重点突出。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逻辑结构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论点鲜明，论据确凿，论证充分，达到所在专业领域要求。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专业能力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综合应用知识能力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分析解决问题能力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创新能力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阐明了新观点，或将经典理论创新性应用，或阐释了对实践的指导意义。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68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写作安排</w:t>
            </w:r>
          </w:p>
        </w:tc>
        <w:tc>
          <w:tcPr>
            <w:tcW w:w="5670" w:type="dxa"/>
            <w:tcBorders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综合分析国内外文献，追踪本领域研究现状或行业动态，能支撑该论文（设计）的选题；论文（设计）的工作量饱满。</w:t>
            </w:r>
          </w:p>
        </w:tc>
        <w:tc>
          <w:tcPr>
            <w:tcW w:w="69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567" w:right="567" w:bottom="3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jA2ZGMwN2I4ZjhjZGQyMTY4ZDVmOTZlNDE0NTgifQ=="/>
  </w:docVars>
  <w:rsids>
    <w:rsidRoot w:val="7268520E"/>
    <w:rsid w:val="726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2022-09-07T01:43:00Z</dcterms:created>
  <dc:creator>王琳、</dc:creator>
  <cp:lastModifiedBy>王琳、</cp:lastModifiedBy>
  <dcterms:modified xsi:type="dcterms:W3CDTF">2022-09-07T01:44:21Z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9016808824DA4B36A1DBCDC4D0DFFA3B</vt:lpwstr>
  </property>
</Properties>
</file>