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4ED10">
      <w:pPr>
        <w:jc w:val="center"/>
        <w:rPr>
          <w:rFonts w:hint="eastAsia" w:ascii="微软雅黑" w:eastAsia="微软雅黑" w:cs="微软雅黑"/>
          <w:b/>
          <w:bCs w:val="0"/>
          <w:color w:val="FF0000"/>
          <w:sz w:val="72"/>
          <w:szCs w:val="72"/>
        </w:rPr>
      </w:pPr>
      <w:r>
        <w:rPr>
          <w:rFonts w:hint="eastAsia" w:ascii="微软雅黑" w:eastAsia="微软雅黑" w:cs="微软雅黑"/>
          <w:b/>
          <w:bCs w:val="0"/>
          <w:color w:val="FF0000"/>
          <w:sz w:val="72"/>
          <w:szCs w:val="72"/>
        </w:rPr>
        <w:t>安徽省教育基本建设学会</w:t>
      </w:r>
    </w:p>
    <w:p w14:paraId="1123A006">
      <w:pPr>
        <w:jc w:val="center"/>
        <w:rPr>
          <w:rFonts w:hint="eastAsia" w:ascii="楷体_GB2312" w:eastAsia="楷体_GB2312"/>
          <w:b/>
          <w:bCs/>
          <w:color w:val="FF0000"/>
          <w:sz w:val="128"/>
          <w:szCs w:val="128"/>
        </w:rPr>
      </w:pPr>
      <w:r>
        <w:rPr>
          <w:rFonts w:hint="eastAsia" w:ascii="楷体_GB2312" w:eastAsia="楷体_GB2312"/>
          <w:b/>
          <w:bCs/>
          <w:color w:val="FF0000"/>
          <w:sz w:val="128"/>
          <w:szCs w:val="128"/>
        </w:rPr>
        <w:t>简  报</w:t>
      </w:r>
    </w:p>
    <w:p w14:paraId="286DB072">
      <w:pPr>
        <w:jc w:val="center"/>
        <w:rPr>
          <w:rFonts w:hint="eastAsia" w:ascii="黑体" w:eastAsia="黑体" w:cs="黑体"/>
          <w:b w:val="0"/>
          <w:bCs w:val="0"/>
          <w:sz w:val="28"/>
          <w:szCs w:val="28"/>
        </w:rPr>
      </w:pPr>
      <w:r>
        <w:rPr>
          <w:rFonts w:hint="eastAsia" w:ascii="黑体" w:eastAsia="黑体" w:cs="黑体"/>
          <w:b/>
          <w:bCs/>
          <w:sz w:val="28"/>
          <w:szCs w:val="28"/>
        </w:rPr>
        <w:t>20</w:t>
      </w:r>
      <w:r>
        <w:rPr>
          <w:rFonts w:hint="eastAsia" w:ascii="黑体" w:eastAsia="黑体" w:cs="黑体"/>
          <w:b/>
          <w:bCs/>
          <w:sz w:val="28"/>
          <w:szCs w:val="28"/>
          <w:lang w:val="en-US" w:eastAsia="zh-CN"/>
        </w:rPr>
        <w:t>24</w:t>
      </w:r>
      <w:r>
        <w:rPr>
          <w:rFonts w:hint="eastAsia" w:ascii="黑体" w:eastAsia="黑体" w:cs="黑体"/>
          <w:b/>
          <w:bCs/>
          <w:sz w:val="28"/>
          <w:szCs w:val="28"/>
        </w:rPr>
        <w:t>年第0</w:t>
      </w:r>
      <w:r>
        <w:rPr>
          <w:rFonts w:hint="eastAsia" w:ascii="黑体" w:eastAsia="黑体" w:cs="黑体"/>
          <w:b/>
          <w:bCs/>
          <w:sz w:val="28"/>
          <w:szCs w:val="28"/>
          <w:lang w:val="en-US" w:eastAsia="zh-CN"/>
        </w:rPr>
        <w:t>4</w:t>
      </w:r>
      <w:r>
        <w:rPr>
          <w:rFonts w:hint="eastAsia" w:ascii="黑体" w:eastAsia="黑体" w:cs="黑体"/>
          <w:b/>
          <w:bCs/>
          <w:sz w:val="28"/>
          <w:szCs w:val="28"/>
        </w:rPr>
        <w:t>期（总第</w:t>
      </w:r>
      <w:r>
        <w:rPr>
          <w:rFonts w:hint="eastAsia" w:ascii="黑体" w:eastAsia="黑体" w:cs="黑体"/>
          <w:b/>
          <w:bCs/>
          <w:sz w:val="28"/>
          <w:szCs w:val="28"/>
          <w:lang w:val="en-US" w:eastAsia="zh-CN"/>
        </w:rPr>
        <w:t>53</w:t>
      </w:r>
      <w:r>
        <w:rPr>
          <w:rFonts w:hint="eastAsia" w:ascii="黑体" w:eastAsia="黑体" w:cs="黑体"/>
          <w:b/>
          <w:bCs/>
          <w:sz w:val="28"/>
          <w:szCs w:val="28"/>
        </w:rPr>
        <w:t>期）</w:t>
      </w:r>
    </w:p>
    <w:p w14:paraId="48AEDBFF">
      <w:pPr>
        <w:pStyle w:val="7"/>
        <w:keepNext w:val="0"/>
        <w:keepLines w:val="0"/>
        <w:pageBreakBefore w:val="0"/>
        <w:widowControl/>
        <w:kinsoku/>
        <w:wordWrap/>
        <w:overflowPunct/>
        <w:topLinePunct w:val="0"/>
        <w:autoSpaceDE/>
        <w:autoSpaceDN/>
        <w:bidi w:val="0"/>
        <w:adjustRightInd/>
        <w:snapToGrid w:val="0"/>
        <w:spacing w:line="200" w:lineRule="atLeast"/>
        <w:ind w:firstLine="0" w:firstLineChars="0"/>
        <w:jc w:val="left"/>
        <w:textAlignment w:val="auto"/>
        <w:rPr>
          <w:rFonts w:hint="eastAsia" w:ascii="微软雅黑" w:eastAsia="微软雅黑" w:cs="微软雅黑"/>
          <w:b w:val="0"/>
          <w:bCs w:val="0"/>
          <w:sz w:val="28"/>
          <w:szCs w:val="28"/>
          <w:lang w:val="en-US" w:eastAsia="zh-CN"/>
        </w:rPr>
      </w:pPr>
      <w:r>
        <w:rPr>
          <w:rFonts w:hint="eastAsia" w:ascii="微软雅黑" w:eastAsia="微软雅黑" w:cs="微软雅黑"/>
          <w:b w:val="0"/>
          <w:bCs w:val="0"/>
          <w:sz w:val="28"/>
          <w:szCs w:val="28"/>
          <w:lang w:val="en-US" w:eastAsia="zh-CN"/>
        </w:rPr>
        <mc:AlternateContent>
          <mc:Choice Requires="wps">
            <w:drawing>
              <wp:anchor distT="0" distB="0" distL="113665" distR="113665" simplePos="0" relativeHeight="251659264" behindDoc="0" locked="0" layoutInCell="1" allowOverlap="1">
                <wp:simplePos x="0" y="0"/>
                <wp:positionH relativeFrom="column">
                  <wp:posOffset>-219075</wp:posOffset>
                </wp:positionH>
                <wp:positionV relativeFrom="paragraph">
                  <wp:posOffset>346075</wp:posOffset>
                </wp:positionV>
                <wp:extent cx="6085840" cy="635"/>
                <wp:effectExtent l="0" t="11430" r="10160" b="16510"/>
                <wp:wrapNone/>
                <wp:docPr id="4" name="直接连接符 3"/>
                <wp:cNvGraphicFramePr/>
                <a:graphic xmlns:a="http://schemas.openxmlformats.org/drawingml/2006/main">
                  <a:graphicData uri="http://schemas.microsoft.com/office/word/2010/wordprocessingShape">
                    <wps:wsp>
                      <wps:cNvCnPr/>
                      <wps:spPr>
                        <a:xfrm rot="21600000" flipV="1">
                          <a:off x="0" y="0"/>
                          <a:ext cx="6085840" cy="952"/>
                        </a:xfrm>
                        <a:prstGeom prst="line">
                          <a:avLst/>
                        </a:prstGeom>
                        <a:noFill/>
                        <a:ln w="22860"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flip:y;margin-left:-17.25pt;margin-top:27.25pt;height:0.05pt;width:479.2pt;z-index:251659264;mso-width-relative:page;mso-height-relative:page;" filled="f" stroked="t" coordsize="21600,21600" o:gfxdata="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bczYtcAAAAJAQAADwAAAAAAAAABACAAAAAiAAAAZHJzL2Rvd25yZXYueG1s&#10;UEsBAhQAFAAAAAgAh07iQDgQUvcyAgAAQgQAAA4AAAAAAAAAAQAgAAAAJgEAAGRycy9lMm9Eb2Mu&#10;eG1sUEsFBgAAAAAGAAYAWQEAAMoFAAAAAA==&#10;">
                <v:fill on="f" focussize="0,0"/>
                <v:stroke weight="1.8pt" color="#FF0000" joinstyle="round"/>
                <v:imagedata o:title=""/>
                <o:lock v:ext="edit" aspectratio="f"/>
              </v:line>
            </w:pict>
          </mc:Fallback>
        </mc:AlternateContent>
      </w:r>
      <w:r>
        <w:rPr>
          <w:rFonts w:hint="eastAsia" w:ascii="微软雅黑" w:eastAsia="微软雅黑" w:cs="微软雅黑"/>
          <w:b w:val="0"/>
          <w:bCs w:val="0"/>
          <w:sz w:val="28"/>
          <w:szCs w:val="28"/>
          <w:lang w:val="en-US" w:eastAsia="zh-CN"/>
        </w:rPr>
        <w:t>主办：安徽省教育基本建设学会秘书处        2024年12月31日</w:t>
      </w:r>
    </w:p>
    <w:p w14:paraId="6564D434">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rPr>
          <w:rFonts w:hint="eastAsia" w:ascii="微软雅黑" w:eastAsia="微软雅黑" w:cs="微软雅黑"/>
          <w:b/>
          <w:bCs/>
          <w:color w:val="424242"/>
          <w:kern w:val="36"/>
          <w:sz w:val="44"/>
          <w:szCs w:val="44"/>
        </w:rPr>
      </w:pPr>
      <w:r>
        <w:rPr>
          <w:rFonts w:hint="eastAsia" w:ascii="微软雅黑" w:eastAsia="微软雅黑" w:cs="微软雅黑"/>
          <w:b/>
          <w:bCs/>
          <w:color w:val="424242"/>
          <w:kern w:val="36"/>
          <w:sz w:val="44"/>
          <w:szCs w:val="44"/>
        </w:rPr>
        <w:t>目    录</w:t>
      </w:r>
    </w:p>
    <w:p w14:paraId="53F3F8A8">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rPr>
        <w:t>学习全国两会精神 读懂总书记两会金句中的重要指引</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1</w:t>
      </w:r>
    </w:p>
    <w:p w14:paraId="4F322E64">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rPr>
      </w:pPr>
      <w:r>
        <w:rPr>
          <w:rFonts w:hint="eastAsia" w:ascii="微软雅黑" w:eastAsia="微软雅黑" w:cs="微软雅黑"/>
          <w:color w:val="424242"/>
          <w:kern w:val="36"/>
          <w:sz w:val="28"/>
          <w:szCs w:val="28"/>
          <w:lang w:val="en-US"/>
        </w:rPr>
        <w:t>习近平：在全国科技大会、国家科学技术奖励大会、两院院士大会上</w:t>
      </w:r>
    </w:p>
    <w:p w14:paraId="5ECCCF80">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rPr>
        <w:t>的讲话</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3</w:t>
      </w:r>
    </w:p>
    <w:p w14:paraId="05B2AECB">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rPr>
        <w:t>统筹推进教育科技人才体制机制一体改革</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5</w:t>
      </w:r>
    </w:p>
    <w:p w14:paraId="068269CE">
      <w:pPr>
        <w:pStyle w:val="7"/>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rPr>
        <w:t>中共中央印发《中国共产党纪律处分条例》</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6</w:t>
      </w:r>
    </w:p>
    <w:p w14:paraId="7D30A668">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rPr>
        <w:t>习近平：培养德智体美劳全面发展的社会主义建设者和接班人</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7</w:t>
      </w:r>
    </w:p>
    <w:p w14:paraId="3F3C134E">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sz w:val="28"/>
          <w:szCs w:val="28"/>
          <w:lang w:val="en-US" w:eastAsia="zh-CN"/>
        </w:rPr>
      </w:pPr>
      <w:r>
        <w:rPr>
          <w:rFonts w:hint="eastAsia" w:ascii="微软雅黑" w:eastAsia="微软雅黑" w:cs="微软雅黑"/>
          <w:color w:val="424242"/>
          <w:kern w:val="36"/>
          <w:sz w:val="28"/>
          <w:szCs w:val="28"/>
          <w:lang w:val="en-US"/>
        </w:rPr>
        <w:t>中共中央 国务院关于加快经济社会发展全面绿色转型的意见</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8</w:t>
      </w:r>
    </w:p>
    <w:p w14:paraId="6664871C">
      <w:pPr>
        <w:jc w:val="center"/>
        <w:rPr>
          <w:rFonts w:hint="eastAsia"/>
          <w:b/>
          <w:bCs/>
          <w:sz w:val="36"/>
          <w:szCs w:val="36"/>
          <w:lang w:val="en-US" w:eastAsia="zh-CN"/>
        </w:rPr>
      </w:pPr>
    </w:p>
    <w:p w14:paraId="1862744B">
      <w:pPr>
        <w:jc w:val="center"/>
        <w:rPr>
          <w:rFonts w:hint="eastAsia"/>
          <w:b/>
          <w:bCs/>
          <w:sz w:val="36"/>
          <w:szCs w:val="36"/>
          <w:lang w:val="en-US" w:eastAsia="zh-CN"/>
        </w:rPr>
      </w:pPr>
    </w:p>
    <w:p w14:paraId="069DCC0B">
      <w:pPr>
        <w:jc w:val="center"/>
        <w:rPr>
          <w:rFonts w:hint="eastAsia"/>
          <w:b/>
          <w:bCs/>
          <w:sz w:val="36"/>
          <w:szCs w:val="36"/>
          <w:lang w:val="en-US" w:eastAsia="zh-CN"/>
        </w:rPr>
      </w:pPr>
    </w:p>
    <w:p w14:paraId="23C20044">
      <w:pPr>
        <w:jc w:val="center"/>
        <w:rPr>
          <w:rFonts w:hint="eastAsia"/>
          <w:b/>
          <w:bCs/>
          <w:sz w:val="36"/>
          <w:szCs w:val="36"/>
          <w:lang w:val="en-US" w:eastAsia="zh-CN"/>
        </w:rPr>
      </w:pPr>
    </w:p>
    <w:p w14:paraId="1F5DB8E9">
      <w:pPr>
        <w:jc w:val="center"/>
        <w:rPr>
          <w:rFonts w:hint="eastAsia"/>
          <w:b/>
          <w:bCs/>
          <w:sz w:val="36"/>
          <w:szCs w:val="36"/>
          <w:lang w:val="en-US" w:eastAsia="zh-CN"/>
        </w:rPr>
      </w:pPr>
    </w:p>
    <w:p w14:paraId="58CA18D8">
      <w:pPr>
        <w:jc w:val="center"/>
        <w:rPr>
          <w:rFonts w:hint="eastAsia"/>
          <w:b/>
          <w:bCs/>
          <w:sz w:val="36"/>
          <w:szCs w:val="36"/>
          <w:lang w:val="en-US" w:eastAsia="zh-CN"/>
        </w:rPr>
      </w:pPr>
    </w:p>
    <w:p w14:paraId="43F4B6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482" w:lineRule="atLeast"/>
        <w:ind w:left="0" w:right="0" w:firstLine="0" w:firstLineChars="0"/>
        <w:jc w:val="center"/>
        <w:textAlignment w:val="auto"/>
        <w:rPr>
          <w:rFonts w:hint="eastAsia"/>
          <w:b/>
          <w:bCs/>
          <w:color w:val="auto"/>
          <w:sz w:val="36"/>
          <w:szCs w:val="36"/>
          <w:lang w:val="en-US" w:eastAsia="zh-CN"/>
        </w:rPr>
        <w:sectPr>
          <w:pgSz w:w="11906" w:h="16838"/>
          <w:pgMar w:top="1440" w:right="1417" w:bottom="1440" w:left="1587" w:header="851" w:footer="992" w:gutter="0"/>
          <w:pgNumType w:start="1"/>
          <w:cols w:space="425" w:num="1"/>
          <w:docGrid w:type="lines" w:linePitch="312" w:charSpace="0"/>
        </w:sectPr>
      </w:pPr>
    </w:p>
    <w:p w14:paraId="37104B99">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学习全国两会精神 读懂总书记两会金句中的重要指引</w:t>
      </w:r>
    </w:p>
    <w:p w14:paraId="7306A04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bookmarkStart w:id="0" w:name="_GoBack"/>
      <w:bookmarkEnd w:id="0"/>
      <w:r>
        <w:rPr>
          <w:rFonts w:hint="eastAsia" w:ascii="宋体" w:hAnsi="宋体" w:eastAsia="宋体" w:cs="宋体"/>
          <w:i w:val="0"/>
          <w:iCs w:val="0"/>
          <w:caps w:val="0"/>
          <w:color w:val="auto"/>
          <w:spacing w:val="0"/>
          <w:sz w:val="24"/>
          <w:szCs w:val="24"/>
          <w:shd w:val="clear" w:fill="FFFFFF"/>
        </w:rPr>
        <w:t>2024年全国两会，习近平总书记三次到团组参加审议讨论，同代表委员深入交流、共商国是。</w:t>
      </w:r>
    </w:p>
    <w:p w14:paraId="4DE692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谈成就、论形势、讲对策、提要求……总书记作出一系列重要论述，指引未来发展方向。</w:t>
      </w:r>
    </w:p>
    <w:p w14:paraId="2A0338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“因地制宜发展新质生产力”</w:t>
      </w:r>
    </w:p>
    <w:p w14:paraId="7E833D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习近平总书记在参加江苏代表团审议</w:t>
      </w:r>
      <w:bookmarkStart w:id="1" w:name="_GoBack"/>
      <w:bookmarkEnd w:id="1"/>
      <w:r>
        <w:rPr>
          <w:rFonts w:hint="eastAsia" w:ascii="宋体" w:hAnsi="宋体" w:eastAsia="宋体" w:cs="宋体"/>
          <w:i w:val="0"/>
          <w:iCs w:val="0"/>
          <w:caps w:val="0"/>
          <w:color w:val="auto"/>
          <w:spacing w:val="0"/>
          <w:sz w:val="24"/>
          <w:szCs w:val="24"/>
          <w:shd w:val="clear" w:fill="FFFFFF"/>
        </w:rPr>
        <w:t>时强调：“要牢牢把握高质量发展这个首要任务，因地制宜发展新质生产力。”</w:t>
      </w:r>
    </w:p>
    <w:p w14:paraId="5E858B7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“因地制宜”四个字发人深省。</w:t>
      </w:r>
    </w:p>
    <w:p w14:paraId="518A2A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在各地各部门争先布局新质生产力时，总书记提出“坚持从实际出发，先立后破、因地制宜、分类指导”，就是要求各地各部门不能单凭一腔热情、一哄而上，而要立足自身实际，坚持“一把钥匙开一把锁”，确保发展新质生产力有序推进、取得实效。</w:t>
      </w:r>
    </w:p>
    <w:p w14:paraId="63A847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“不是忽视、放弃传统产业”“防止一哄而上、泡沫化”“不要搞一种模式”……平实的话语、务实的要求，指明了发展新质生产力要处理好新兴产业、未来产业与传统产业的关系。</w:t>
      </w:r>
    </w:p>
    <w:p w14:paraId="427E04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在出席解放军和武警部队代表团全体会议时，总书记强调“推动新质生产力同新质战斗力高效融合、双向拉动”“打造新质生产力和新质战斗力增长极”，传递出加速提升新质战斗力的坚定意志。</w:t>
      </w:r>
    </w:p>
    <w:p w14:paraId="3EE328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“谋划进一步全面深化改革重大举措”</w:t>
      </w:r>
    </w:p>
    <w:p w14:paraId="20297B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前不久召开的中央全面深化改革委员会第四次会议释放重要信号：今年是全面深化改革又一个重要年份，主要任务是谋划进一步全面深化改革。</w:t>
      </w:r>
    </w:p>
    <w:p w14:paraId="26607C1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全国两会上，习近平总书记进一步作出部署：</w:t>
      </w:r>
    </w:p>
    <w:p w14:paraId="4F6B80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在江苏代表团，提出“深化科技体制、教育体制、人才体制等改革，打通束缚新质生产力发展的堵点卡点”；在政协界别联组会上，强调要以“改革的思路”系统推进生态保护修复、破解生态环境突出问题。</w:t>
      </w:r>
    </w:p>
    <w:p w14:paraId="54D49F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聚焦破解深层次体制机制障碍和结构性矛盾，奔着解决最突出的问题，总书记指出了进一步全面深化改革的一些重点领域。</w:t>
      </w:r>
    </w:p>
    <w:p w14:paraId="1FCF464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“统筹推进科技创新和产业创新”</w:t>
      </w:r>
    </w:p>
    <w:p w14:paraId="1C3686C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在推动高质量发展的进程中，科技创新的重要性不言而喻。一直以来，习近平总书记十分重视加强科技创新和产业创新深度融合。</w:t>
      </w:r>
    </w:p>
    <w:p w14:paraId="496CC74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科技创新是产业创新的决定性前提和关键性支撑，而产业创新是科技创新成果转移转化的落脚点。</w:t>
      </w:r>
    </w:p>
    <w:p w14:paraId="5DE33F6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政协联组会上，总书记肯定了统筹推进科技创新和产业创新的方向：“过去研究和生产是‘两张皮’，现在科研成果转化率比过去高得多了，特别是企业自身直接研发形成成果转化，院校和企业形成共同体，这样的趋势、方向是对的，要快马加鞭，把激励、促进政策进一步抓好。”</w:t>
      </w:r>
    </w:p>
    <w:p w14:paraId="1CC8C3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统筹推进科技创新和产业创新，就是以科技创新为引领，统筹推进传统产业升级、新兴产业壮大、未来产业培育，使创新成果加快从“实验室”走向“生产线”，转化为现实生产力、新质生产力，为高质量发展注入更为充沛的动能。</w:t>
      </w:r>
    </w:p>
    <w:p w14:paraId="08ED32F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“以高水平保护支撑高质量发展”</w:t>
      </w:r>
    </w:p>
    <w:p w14:paraId="0CC49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党的二十大报告指出，“推动经济社会发展绿色化、低碳化是实现高质量发展的关键环节”，揭示了高质量发展和高水平保护是相辅相成、相得益彰的辩证统一关系。</w:t>
      </w:r>
    </w:p>
    <w:p w14:paraId="677D27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从去年全国生态环境保护大会上强调“通过高水平环境保护，不断塑造发展的新动能、新优势”，到此次政协联组会上提出“以高水平保护支撑高质量发展”，充分体现了总书记的宏阔视野与辩证思维。</w:t>
      </w:r>
    </w:p>
    <w:p w14:paraId="157C4A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方向更加明确：以高水平保护将生态优势转化为发展优势，实现保护与发展的良性循环，从而推动经济社会绿色转型、可持续高质量发展。</w:t>
      </w:r>
    </w:p>
    <w:p w14:paraId="207F325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“要实现中国式现代化，互联网这一关必须要过”</w:t>
      </w:r>
    </w:p>
    <w:p w14:paraId="0D8BB1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政协联组会上，来自科技界的吴建平委员表示：“我们必须努力实现下一代互联网核心技术自主可控，把网络强国的创新主动权、发展主动权牢牢掌握在自己手中。”</w:t>
      </w:r>
    </w:p>
    <w:p w14:paraId="084101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对吴建平委员的观点，习近平总书记表示赞同：“要实现中国式现代化，互联网这一关必须要过。”</w:t>
      </w:r>
    </w:p>
    <w:p w14:paraId="547EAF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建设网络强国是实现高质量发展的基础，互联网核心技术是网络强国的“命门”。</w:t>
      </w:r>
    </w:p>
    <w:p w14:paraId="56E5F8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我们要掌握网络强国的创新主动权，只有自立自强、技术创新，才能从容应对各种网络安全威胁，支撑网络空间安全与发展的双轮驱动，以网络强国建设助力中国式现代化。</w:t>
      </w:r>
    </w:p>
    <w:p w14:paraId="6B96FC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“大国工匠是我们中华民族大厦的基石、栋梁”</w:t>
      </w:r>
    </w:p>
    <w:p w14:paraId="615E529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工匠精神是中华民族严谨认真、坚韧不拔、追求卓越的民族气质。古往今来，工匠精神一直改变和塑造着中国。</w:t>
      </w:r>
    </w:p>
    <w:p w14:paraId="1A51CF1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精益求精、“斤斤计较”的大国工匠不断擦亮中国制造、锻造大国重器。习近平总书记点赞，“要树立工匠精神，把第一线的大国工匠一批一批培养出来。这是顶梁柱，没有金刚钻，揽不了瓷器活”。</w:t>
      </w:r>
    </w:p>
    <w:p w14:paraId="04B9D7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时代发展，需要大国工匠；迈向新征程，需要大力弘扬工匠精神。在高质量发展的今天，无论是传统产业还是新兴产业、未来产业，大国工匠在发展新质生产力的历史进程中都不可或缺。</w:t>
      </w:r>
    </w:p>
    <w:p w14:paraId="19D77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“看准了就抓紧干”</w:t>
      </w:r>
    </w:p>
    <w:p w14:paraId="7CE1724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从2023年中央经济工作会议指出“看准了就抓紧干”；到全国两会江苏代表团审议现场，总书记强调“要抓住一切有利时机，利用一切有利条件，看准了就抓紧干，把各方面的干劲带起来”；再到政协联组会上，总书记指明“不要光在那儿批评、指手画脚，而是真正行动，解决一点是一点”。</w:t>
      </w:r>
    </w:p>
    <w:p w14:paraId="7641A7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贯穿其中的，是脚踏实地、真抓实干的奋斗精神。</w:t>
      </w:r>
    </w:p>
    <w:p w14:paraId="37FA462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今年是实现“十四五”规划目标任务的关键一年，战鼓催征，时不我待。</w:t>
      </w:r>
    </w:p>
    <w:p w14:paraId="3347C88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当前，中国经济前行以及实现突破的方向是十分明确的，习近平总书记强调“看准了就抓紧干”“真正行动”，就是号召大家抓住机遇、脚踏实地，努力以自身工作的确定性应对形势变化的不确定性，稳步实现既定战略目标。</w:t>
      </w:r>
    </w:p>
    <w:p w14:paraId="4F38D3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“在发展中稳步提升民生保障水平”</w:t>
      </w:r>
    </w:p>
    <w:p w14:paraId="087127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习近平总书记去年在参加江苏代表团审议时强调“人民幸福安康是推动高质量发展的最终目的”，今年面对江苏代表团的代表们，总书记指出“要坚持以人民为中心的发展思想，在发展中稳步提升民生保障水平，引导激励广大群众依靠自己的双手创造幸福生活”。</w:t>
      </w:r>
    </w:p>
    <w:p w14:paraId="3B145F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以人民为中心的执政理念，一以贯之、始终坚定。</w:t>
      </w:r>
    </w:p>
    <w:p w14:paraId="4A4255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习近平总书记的重要讲话，深刻揭示了强国建设、民族复兴必须紧紧依靠人民，从人民中汲取智慧和力量，最终目的也是一切为了人民。</w:t>
      </w:r>
    </w:p>
    <w:p w14:paraId="4D6ADBA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“只要看到我们是在往前走着，就要保持定力”</w:t>
      </w:r>
    </w:p>
    <w:p w14:paraId="2AD60E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关于生态环境问题，总书记深入思考、总结经验：“只要看到我们是在往前走着，就要保持定力。”</w:t>
      </w:r>
    </w:p>
    <w:p w14:paraId="11BE3F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对于科技创新之路，总书记深刻指出：“党中央关于加快推动高水平科技自立自强、发展新质生产力，已经形成统一认识，并在积极推进中，但这不是一时半会儿的事情。”</w:t>
      </w:r>
    </w:p>
    <w:p w14:paraId="62E6FD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如何看待发展中遇到的各种问题，都考验着历史的眼光和坚定的信念。满怀信心，保持定力，对于我们认识经济形势、应对困难挑战，继续沿着正确道路前进具有重要指导意义。</w:t>
      </w:r>
    </w:p>
    <w:p w14:paraId="26A349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06E7037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02F2075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15985E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56E8DA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45F6E8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48457B3A">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rPr>
      </w:pPr>
    </w:p>
    <w:p w14:paraId="59F0E2B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default"/>
          <w:b/>
          <w:bCs/>
          <w:color w:val="auto"/>
          <w:sz w:val="36"/>
          <w:szCs w:val="36"/>
          <w:lang w:val="en-US" w:eastAsia="zh-CN"/>
        </w:rPr>
      </w:pPr>
      <w:r>
        <w:rPr>
          <w:rFonts w:hint="eastAsia"/>
          <w:b/>
          <w:bCs/>
          <w:color w:val="auto"/>
          <w:sz w:val="36"/>
          <w:szCs w:val="36"/>
          <w:lang w:val="en-US" w:eastAsia="zh-CN"/>
        </w:rPr>
        <w:t>习近平：在全国科技大会、国家科学技术奖励大会、两院院士大会上的讲话</w:t>
      </w:r>
    </w:p>
    <w:p w14:paraId="3B21A0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460" w:lineRule="atLeast"/>
        <w:ind w:left="0" w:right="0"/>
        <w:jc w:val="center"/>
        <w:textAlignment w:val="auto"/>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sz w:val="30"/>
          <w:szCs w:val="30"/>
          <w:bdr w:val="none" w:color="auto" w:sz="0" w:space="0"/>
          <w:shd w:val="clear" w:fill="FFFFFF"/>
        </w:rPr>
        <w:t>在全国科技大会、国家科学技术奖励大会、两院院士大会上的讲话</w:t>
      </w:r>
    </w:p>
    <w:p w14:paraId="0EFA92E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1"/>
        <w:jc w:val="center"/>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sz w:val="30"/>
          <w:szCs w:val="30"/>
          <w:bdr w:val="none" w:color="auto" w:sz="0" w:space="0"/>
          <w:shd w:val="clear" w:fill="FFFFFF"/>
        </w:rPr>
        <w:t> （2024年6月24日）</w:t>
      </w:r>
    </w:p>
    <w:p w14:paraId="77D4A2C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1"/>
        <w:jc w:val="center"/>
        <w:rPr>
          <w:color w:val="333333"/>
          <w:sz w:val="21"/>
          <w:szCs w:val="21"/>
        </w:rPr>
      </w:pPr>
      <w:r>
        <w:rPr>
          <w:rFonts w:hint="default" w:ascii="Arial" w:hAnsi="Arial" w:cs="Arial"/>
          <w:i w:val="0"/>
          <w:iCs w:val="0"/>
          <w:caps w:val="0"/>
          <w:color w:val="333333"/>
          <w:spacing w:val="0"/>
          <w:sz w:val="30"/>
          <w:szCs w:val="30"/>
          <w:bdr w:val="none" w:color="auto" w:sz="0" w:space="0"/>
          <w:shd w:val="clear" w:fill="FFFFFF"/>
        </w:rPr>
        <w:t> 习近平</w:t>
      </w:r>
    </w:p>
    <w:p w14:paraId="4CFC85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各位院士，同志们、朋友们：</w:t>
      </w:r>
    </w:p>
    <w:p w14:paraId="5632739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sz w:val="24"/>
          <w:szCs w:val="24"/>
          <w:bdr w:val="none" w:color="auto" w:sz="0" w:space="0"/>
          <w:shd w:val="clear" w:fill="FFFFFF"/>
        </w:rPr>
        <w:t> 这次大会是在以中国式现代化全面推进强国建设、民族复兴伟业关键时期召开的一次科技盛会。首先，我代表党中央，向获得2023年度国家科学技术奖励的集体和个人表示热烈祝贺！向两院院士和广大科技工作者致以诚挚问候！向与会的外籍院士和国际科学界的朋友们表示热烈欢迎！</w:t>
      </w:r>
    </w:p>
    <w:p w14:paraId="30C1FBD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i w:val="0"/>
          <w:iCs w:val="0"/>
          <w:caps w:val="0"/>
          <w:color w:val="333333"/>
          <w:spacing w:val="0"/>
          <w:sz w:val="24"/>
          <w:szCs w:val="24"/>
          <w:bdr w:val="none" w:color="auto" w:sz="0" w:space="0"/>
          <w:shd w:val="clear" w:fill="FFFFFF"/>
        </w:rPr>
        <w:t> 科技兴则民族兴，科技强则国家强。我们党历来高度重视科技事业发展。党的十八大以来，党中央深入推动实施创新驱动发展战略，提出加快建设创新型国家的战略任务，确立2035年建成科技强国的奋斗目标，不断深化科技体制改革，充分激发科技人员积极性、主动性、创造性，有力推进科技自立自强，我国科技事业取得历史性成就、发生历史性变革。基础前沿研究实现新突破，在量子科技、</w:t>
      </w:r>
      <w:r>
        <w:rPr>
          <w:rFonts w:hint="default" w:ascii="Arial" w:hAnsi="Arial" w:cs="Arial"/>
          <w:i w:val="0"/>
          <w:iCs w:val="0"/>
          <w:caps w:val="0"/>
          <w:color w:val="333333"/>
          <w:spacing w:val="0"/>
          <w:sz w:val="24"/>
          <w:szCs w:val="24"/>
          <w:bdr w:val="none" w:color="auto" w:sz="0" w:space="0"/>
          <w:shd w:val="clear" w:fill="FFFFFF"/>
        </w:rPr>
        <w:t>生命科学、物质科学、空间科学等领域取得一批重大原创成果，微分几何学两大核心猜想被成功证明，化学小分子诱导人体细胞实现重编程，二氧化碳人工合成淀粉实现“技术造物”。战略高技术领域迎来新跨越，“嫦娥”揽月，“天和”驻空，“天问”探火，“地壳一号”挺进地球深处，“奋斗者”号探秘万米深海，全球首座第四</w:t>
      </w:r>
      <w:r>
        <w:rPr>
          <w:rFonts w:hint="eastAsia" w:ascii="宋体" w:hAnsi="宋体" w:eastAsia="宋体" w:cs="宋体"/>
          <w:i w:val="0"/>
          <w:iCs w:val="0"/>
          <w:caps w:val="0"/>
          <w:color w:val="333333"/>
          <w:spacing w:val="0"/>
          <w:sz w:val="24"/>
          <w:szCs w:val="24"/>
          <w:bdr w:val="none" w:color="auto" w:sz="0" w:space="0"/>
          <w:shd w:val="clear" w:fill="FFFFFF"/>
        </w:rPr>
        <w:t>代核电站商运投产。创新驱动引领高质量发展取得新成效，集成电路、人工智能等新兴产业蓬勃发展，第一颗6G卫星发射成功，北斗导航提供全球精准服务，国产大飞机实现商飞，高铁技术树起国际标杆，</w:t>
      </w:r>
      <w:r>
        <w:rPr>
          <w:rFonts w:hint="default" w:ascii="Arial" w:hAnsi="Arial" w:cs="Arial"/>
          <w:i w:val="0"/>
          <w:iCs w:val="0"/>
          <w:caps w:val="0"/>
          <w:color w:val="333333"/>
          <w:spacing w:val="0"/>
          <w:sz w:val="24"/>
          <w:szCs w:val="24"/>
          <w:bdr w:val="none" w:color="auto" w:sz="0" w:space="0"/>
          <w:shd w:val="clear" w:fill="FFFFFF"/>
        </w:rPr>
        <w:t>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要一极的影响力持续提升。这些都为建成科技强国打下了坚实基础。</w:t>
      </w:r>
    </w:p>
    <w:p w14:paraId="45D1B43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谋未来的理念，以科技创新引领高质量发展、保障高水平安全。坚持“四个面向”的战略导向，面向世界科技前沿、面向经济主战场、面向国家重大需求、面向人民生命健康，加强科技创新全链条部署、全领域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14:paraId="6804AF0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各位院士，同志们、朋友们！</w:t>
      </w:r>
    </w:p>
    <w:p w14:paraId="6971FDE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秩序和发展格局。虽然我国科技事业发展取得了长足进步，但原始创新能力还相对薄弱，一些关键核心技术受制于人，顶尖科技人才不足，必须进一步增强紧迫感，进一步加大科技创新力度，抢占科技竞争和未来发展制高点。</w:t>
      </w:r>
    </w:p>
    <w:p w14:paraId="5A529D9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党的二十大明确了以中国式现代化全面推进强国建设、民族复兴伟业的中心任务。中国式现代化要靠科技现代化作支撑，实现高质量发展要靠科技创新培育新动能。必须充</w:t>
      </w:r>
      <w:r>
        <w:rPr>
          <w:rFonts w:hint="eastAsia" w:ascii="宋体" w:hAnsi="宋体" w:eastAsia="宋体" w:cs="宋体"/>
          <w:i w:val="0"/>
          <w:iCs w:val="0"/>
          <w:caps w:val="0"/>
          <w:color w:val="333333"/>
          <w:spacing w:val="0"/>
          <w:sz w:val="24"/>
          <w:szCs w:val="24"/>
          <w:bdr w:val="none" w:color="auto" w:sz="0" w:space="0"/>
          <w:shd w:val="clear" w:fill="FFFFFF"/>
        </w:rPr>
        <w:t>分认识科技的战略先导地位和根本支撑作用，锚定2035年建</w:t>
      </w:r>
      <w:r>
        <w:rPr>
          <w:rFonts w:hint="default" w:ascii="Arial" w:hAnsi="Arial" w:cs="Arial"/>
          <w:i w:val="0"/>
          <w:iCs w:val="0"/>
          <w:caps w:val="0"/>
          <w:color w:val="333333"/>
          <w:spacing w:val="0"/>
          <w:sz w:val="24"/>
          <w:szCs w:val="24"/>
          <w:bdr w:val="none" w:color="auto" w:sz="0" w:space="0"/>
          <w:shd w:val="clear" w:fill="FFFFFF"/>
        </w:rPr>
        <w:t>成科技强国的战略目标，加强顶层设计和统筹谋划，加快实现高水平科技自立自强。</w:t>
      </w:r>
    </w:p>
    <w:p w14:paraId="3D60676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14:paraId="750507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各位院士，同志们、朋友们！</w:t>
      </w:r>
    </w:p>
    <w:p w14:paraId="2A538A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现在距离实现建成科技强国目标</w:t>
      </w:r>
      <w:r>
        <w:rPr>
          <w:rFonts w:hint="eastAsia" w:ascii="宋体" w:hAnsi="宋体" w:eastAsia="宋体" w:cs="宋体"/>
          <w:i w:val="0"/>
          <w:iCs w:val="0"/>
          <w:caps w:val="0"/>
          <w:color w:val="333333"/>
          <w:spacing w:val="0"/>
          <w:sz w:val="24"/>
          <w:szCs w:val="24"/>
          <w:bdr w:val="none" w:color="auto" w:sz="0" w:space="0"/>
          <w:shd w:val="clear" w:fill="FFFFFF"/>
        </w:rPr>
        <w:t>只有11年</w:t>
      </w:r>
      <w:r>
        <w:rPr>
          <w:rFonts w:hint="default" w:ascii="Arial" w:hAnsi="Arial" w:cs="Arial"/>
          <w:i w:val="0"/>
          <w:iCs w:val="0"/>
          <w:caps w:val="0"/>
          <w:color w:val="333333"/>
          <w:spacing w:val="0"/>
          <w:sz w:val="24"/>
          <w:szCs w:val="24"/>
          <w:bdr w:val="none" w:color="auto" w:sz="0" w:space="0"/>
          <w:shd w:val="clear" w:fill="FFFFFF"/>
        </w:rPr>
        <w:t>时间了。我们要以“十年磨一剑”的坚定决心和顽强意志，只争朝夕、埋头苦干，一步一个脚印把这一战略目标变为现实。</w:t>
      </w:r>
    </w:p>
    <w:p w14:paraId="315F4F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第一，充分发挥新型举国体制优势，加快推进高水平科技自立自强。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一体化能力。要保持战略定力，坚持有所为有所不为，突出国家战略需求，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14:paraId="7AD9E5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第二，扎实推动科技创新和产业创新深度融合，助力发展新质生产力。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14:paraId="061A65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融合的关键是强化企业科技创新主体地位。要充分发挥科技领军企业龙头作用，鼓励中小企业和民营企业科技创新，支持企业牵头或参与国家重大科技项目。要引导企业与高校、科研机构密切合作，面向产业需求共同凝练科技问题、联合开展科研攻关、协同培养科技人才，推动企业主导的产学研融通创新。</w:t>
      </w:r>
    </w:p>
    <w:p w14:paraId="24FD9E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投硬科技。</w:t>
      </w:r>
    </w:p>
    <w:p w14:paraId="1C9ECB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第三，全面深化科技体制机制改革，充分激发创新创造活力。要坚持目标导向和问题导向相结合，针对我国科技创新组织化协同化程度不高，科技资源分散、重复等问题，深化科技管理体制改革，统筹各类创新平台建设，加强创新资源统筹和力量组织。完善区域科技创新布局，强化央地协同联动，打造具有全球影响力的创新高地。要改进科技计划管理，深化科技经费分配和管理使用机制改革，赋予科研单位和科研人员更大自主权，提升科技创新投入效能。</w:t>
      </w:r>
    </w:p>
    <w:p w14:paraId="3D924D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近年来，为科研人员松绑减负工作取得了积极进展，但也有不少科研人员反映，各种非学术负担仍然较重。要坚持“破四唯”和“立新标”相结合，加快健全符合科研活动规律的分类评价体系和考核机制。要完善科技奖励、收入分配、成果赋权等激励制度，让更多优秀人才得到合理回报、释放创新活力。要持续整治滥发“帽子”、“牌子”之风，让科研人员心无旁骛、潜心钻研，切实减少为报项目、发论文、评奖励、争资源而分心伤神。</w:t>
      </w:r>
    </w:p>
    <w:p w14:paraId="183E72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第四，一体推进教育科技人才事业发展，构筑人才竞争优势。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14:paraId="6E3AEBE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14:paraId="5729C5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要实行更加积极、更加开放、更加有效的人才政策，加快形成具有国际竞争力的人才制度体系，构筑汇聚全球智慧资源的创新高地。</w:t>
      </w:r>
    </w:p>
    <w:p w14:paraId="0E1472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14:paraId="3C5E367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第五，深入践行构建人类命运共同体理念，推动科技开放合作。科技进步是世界性、时代性课题，唯有开放合作才是正道。国际环境越复杂，我们越要敞开胸怀、打开大门，统筹开放和安全，在开放合作中实现自立自强。</w:t>
      </w:r>
    </w:p>
    <w:p w14:paraId="436E1FA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要深入践行国际科技合作倡议，拓宽政府和民间交流合作渠道，发挥共建“一带一路”等平台作用，牵头组织好国际大科学计划和大科学工程，支持各国科研人员联合攻关。要</w:t>
      </w:r>
      <w:r>
        <w:rPr>
          <w:rFonts w:hint="default" w:ascii="宋体" w:hAnsi="宋体" w:eastAsia="宋体" w:cs="宋体"/>
          <w:i w:val="0"/>
          <w:iCs w:val="0"/>
          <w:caps w:val="0"/>
          <w:color w:val="auto"/>
          <w:spacing w:val="0"/>
          <w:sz w:val="24"/>
          <w:szCs w:val="24"/>
          <w:shd w:val="clear" w:fill="FFFFFF"/>
        </w:rPr>
        <w:t>积极</w:t>
      </w:r>
      <w:r>
        <w:rPr>
          <w:rFonts w:hint="default" w:ascii="Arial" w:hAnsi="Arial" w:cs="Arial"/>
          <w:i w:val="0"/>
          <w:iCs w:val="0"/>
          <w:caps w:val="0"/>
          <w:color w:val="333333"/>
          <w:spacing w:val="0"/>
          <w:sz w:val="24"/>
          <w:szCs w:val="24"/>
          <w:bdr w:val="none" w:color="auto" w:sz="0" w:space="0"/>
          <w:shd w:val="clear" w:fill="FFFFFF"/>
        </w:rPr>
        <w:t>融入全球创新网络，深度参与全球科技治理，同世界各国携手打造开放、公平、公正、非歧视的国际科技发展环境，共同应对气候变化、粮食安全、能源安全等全球性挑战，让科技更好造福人类。</w:t>
      </w:r>
    </w:p>
    <w:p w14:paraId="2493542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各位院士，同志们、朋友们！</w:t>
      </w:r>
    </w:p>
    <w:p w14:paraId="0E8CB39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14:paraId="7D7DAA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14:paraId="5D6F64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各位院士，同志们、朋友们！</w:t>
      </w:r>
    </w:p>
    <w:p w14:paraId="2851CC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 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r>
        <w:rPr>
          <w:rFonts w:hint="default" w:ascii="Arial" w:hAnsi="Arial" w:cs="Arial"/>
          <w:i w:val="0"/>
          <w:iCs w:val="0"/>
          <w:caps w:val="0"/>
          <w:color w:val="333333"/>
          <w:spacing w:val="0"/>
          <w:sz w:val="24"/>
          <w:szCs w:val="24"/>
          <w:shd w:val="clear" w:fill="FFFFFF"/>
          <w:lang w:eastAsia="zh-CN"/>
        </w:rPr>
        <w:t>（文献来源：</w:t>
      </w:r>
      <w:r>
        <w:rPr>
          <w:rFonts w:hint="default" w:ascii="Arial" w:hAnsi="Arial" w:cs="Arial"/>
          <w:i w:val="0"/>
          <w:iCs w:val="0"/>
          <w:caps w:val="0"/>
          <w:color w:val="333333"/>
          <w:spacing w:val="0"/>
          <w:sz w:val="24"/>
          <w:szCs w:val="24"/>
          <w:shd w:val="clear" w:fill="FFFFFF"/>
        </w:rPr>
        <w:t>www.12371.cn 2024年6月24</w:t>
      </w:r>
      <w:r>
        <w:rPr>
          <w:rFonts w:hint="default" w:ascii="Arial" w:hAnsi="Arial" w:cs="Arial"/>
          <w:i w:val="0"/>
          <w:iCs w:val="0"/>
          <w:caps w:val="0"/>
          <w:color w:val="333333"/>
          <w:spacing w:val="0"/>
          <w:sz w:val="24"/>
          <w:szCs w:val="24"/>
          <w:shd w:val="clear" w:fill="FFFFFF"/>
          <w:lang w:eastAsia="zh-CN"/>
        </w:rPr>
        <w:t>）</w:t>
      </w:r>
    </w:p>
    <w:p w14:paraId="703E8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6E9D4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771BB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30406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351BA9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098451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0FE33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50BCA5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682372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681954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01403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5E489D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2DA07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rFonts w:hint="eastAsia" w:ascii="微软雅黑" w:hAnsi="微软雅黑" w:eastAsia="微软雅黑" w:cs="微软雅黑"/>
          <w:b/>
          <w:bCs/>
          <w:color w:val="009B60"/>
          <w:sz w:val="33"/>
          <w:szCs w:val="33"/>
          <w:bdr w:val="none" w:color="auto" w:sz="0" w:space="0"/>
        </w:rPr>
      </w:pPr>
    </w:p>
    <w:p w14:paraId="2796E1E7">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609ECFB1">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统筹推进教育科技人才体制机制一体改革</w:t>
      </w:r>
    </w:p>
    <w:p w14:paraId="4EBCC8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333333"/>
          <w:sz w:val="21"/>
          <w:szCs w:val="21"/>
        </w:rPr>
      </w:pPr>
    </w:p>
    <w:p w14:paraId="53B06E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333333"/>
          <w:sz w:val="21"/>
          <w:szCs w:val="21"/>
        </w:rPr>
      </w:pPr>
      <w:r>
        <w:rPr>
          <w:b w:val="0"/>
          <w:bCs w:val="0"/>
          <w:color w:val="333333"/>
          <w:sz w:val="30"/>
          <w:szCs w:val="30"/>
          <w:bdr w:val="none" w:color="auto" w:sz="0" w:space="0"/>
          <w:lang w:eastAsia="zh-CN"/>
        </w:rPr>
        <w:t>教育部部长怀进鹏在中共中央举行的新闻发布会上</w:t>
      </w:r>
    </w:p>
    <w:p w14:paraId="259152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333333"/>
          <w:sz w:val="21"/>
          <w:szCs w:val="21"/>
        </w:rPr>
      </w:pPr>
      <w:r>
        <w:rPr>
          <w:b w:val="0"/>
          <w:bCs w:val="0"/>
          <w:color w:val="333333"/>
          <w:sz w:val="30"/>
          <w:szCs w:val="30"/>
          <w:bdr w:val="none" w:color="auto" w:sz="0" w:space="0"/>
          <w:lang w:eastAsia="zh-CN"/>
        </w:rPr>
        <w:t>介绍有关情况并答记者问</w:t>
      </w:r>
    </w:p>
    <w:p w14:paraId="7D0ABA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val="en-US"/>
        </w:rPr>
        <w:t>7</w:t>
      </w:r>
      <w:r>
        <w:rPr>
          <w:rFonts w:hint="eastAsia" w:ascii="宋体" w:hAnsi="宋体" w:eastAsia="宋体" w:cs="宋体"/>
          <w:b w:val="0"/>
          <w:bCs w:val="0"/>
          <w:color w:val="333333"/>
          <w:sz w:val="24"/>
          <w:szCs w:val="24"/>
          <w:bdr w:val="none" w:color="auto" w:sz="0" w:space="0"/>
          <w:lang w:eastAsia="zh-CN"/>
        </w:rPr>
        <w:t>月</w:t>
      </w:r>
      <w:r>
        <w:rPr>
          <w:rFonts w:hint="eastAsia" w:ascii="宋体" w:hAnsi="宋体" w:eastAsia="宋体" w:cs="宋体"/>
          <w:b w:val="0"/>
          <w:bCs w:val="0"/>
          <w:color w:val="333333"/>
          <w:sz w:val="24"/>
          <w:szCs w:val="24"/>
          <w:bdr w:val="none" w:color="auto" w:sz="0" w:space="0"/>
          <w:lang w:val="en-US"/>
        </w:rPr>
        <w:t>19</w:t>
      </w:r>
      <w:r>
        <w:rPr>
          <w:rFonts w:hint="eastAsia" w:ascii="宋体" w:hAnsi="宋体" w:eastAsia="宋体" w:cs="宋体"/>
          <w:b w:val="0"/>
          <w:bCs w:val="0"/>
          <w:color w:val="333333"/>
          <w:sz w:val="24"/>
          <w:szCs w:val="24"/>
          <w:bdr w:val="none" w:color="auto" w:sz="0" w:space="0"/>
          <w:lang w:eastAsia="zh-CN"/>
        </w:rPr>
        <w:t>日上午，中共中央举行新闻发布会，介绍和解读党的二十届三中全会精神。教育部党组书记、部长怀进鹏就教育、科技、人才、创新等领域改革作介绍，并回答记者提问。</w:t>
      </w:r>
    </w:p>
    <w:p w14:paraId="78E8D5C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ascii="黑体" w:hAnsi="宋体" w:eastAsia="黑体" w:cs="黑体"/>
          <w:b w:val="0"/>
          <w:bCs w:val="0"/>
          <w:color w:val="333333"/>
          <w:sz w:val="24"/>
          <w:szCs w:val="24"/>
          <w:bdr w:val="none" w:color="auto" w:sz="0" w:space="0"/>
          <w:lang w:eastAsia="zh-CN"/>
        </w:rPr>
        <w:t>进一步深化改革，形成推动高质量发展的倍增效应</w:t>
      </w:r>
    </w:p>
    <w:p w14:paraId="742C4AD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怀进鹏表示，党的十八大以来，我们党深入实施科教兴国战略、人才强国战略、创新驱动发展战略，一体推进教育发展、科技创新、人才培养，不断强化对现代化建设的支撑。目前，我国建成世界上规模最大的教育体系，各级教育普及程度达到或超过中高收入国家平均水平，高等教育毛入学率超过</w:t>
      </w:r>
      <w:r>
        <w:rPr>
          <w:rFonts w:hint="eastAsia" w:ascii="宋体" w:hAnsi="宋体" w:eastAsia="宋体" w:cs="宋体"/>
          <w:b w:val="0"/>
          <w:bCs w:val="0"/>
          <w:color w:val="333333"/>
          <w:sz w:val="24"/>
          <w:szCs w:val="24"/>
          <w:bdr w:val="none" w:color="auto" w:sz="0" w:space="0"/>
          <w:lang w:val="en-US"/>
        </w:rPr>
        <w:t>60%</w:t>
      </w:r>
      <w:r>
        <w:rPr>
          <w:rFonts w:hint="eastAsia" w:ascii="宋体" w:hAnsi="宋体" w:eastAsia="宋体" w:cs="宋体"/>
          <w:b w:val="0"/>
          <w:bCs w:val="0"/>
          <w:color w:val="333333"/>
          <w:sz w:val="24"/>
          <w:szCs w:val="24"/>
          <w:bdr w:val="none" w:color="auto" w:sz="0" w:space="0"/>
          <w:lang w:eastAsia="zh-CN"/>
        </w:rPr>
        <w:t>，进入世界公认的普及化阶段。新增劳动力平均受教育年限超过</w:t>
      </w:r>
      <w:r>
        <w:rPr>
          <w:rFonts w:hint="eastAsia" w:ascii="宋体" w:hAnsi="宋体" w:eastAsia="宋体" w:cs="宋体"/>
          <w:b w:val="0"/>
          <w:bCs w:val="0"/>
          <w:color w:val="333333"/>
          <w:sz w:val="24"/>
          <w:szCs w:val="24"/>
          <w:bdr w:val="none" w:color="auto" w:sz="0" w:space="0"/>
          <w:lang w:val="en-US"/>
        </w:rPr>
        <w:t>14</w:t>
      </w:r>
      <w:r>
        <w:rPr>
          <w:rFonts w:hint="eastAsia" w:ascii="宋体" w:hAnsi="宋体" w:eastAsia="宋体" w:cs="宋体"/>
          <w:b w:val="0"/>
          <w:bCs w:val="0"/>
          <w:color w:val="333333"/>
          <w:sz w:val="24"/>
          <w:szCs w:val="24"/>
          <w:bdr w:val="none" w:color="auto" w:sz="0" w:space="0"/>
          <w:lang w:eastAsia="zh-CN"/>
        </w:rPr>
        <w:t>年，接受高等教育的人口达到</w:t>
      </w:r>
      <w:r>
        <w:rPr>
          <w:rFonts w:hint="eastAsia" w:ascii="宋体" w:hAnsi="宋体" w:eastAsia="宋体" w:cs="宋体"/>
          <w:b w:val="0"/>
          <w:bCs w:val="0"/>
          <w:color w:val="333333"/>
          <w:sz w:val="24"/>
          <w:szCs w:val="24"/>
          <w:bdr w:val="none" w:color="auto" w:sz="0" w:space="0"/>
          <w:lang w:val="en-US"/>
        </w:rPr>
        <w:t>2.5</w:t>
      </w:r>
      <w:r>
        <w:rPr>
          <w:rFonts w:hint="eastAsia" w:ascii="宋体" w:hAnsi="宋体" w:eastAsia="宋体" w:cs="宋体"/>
          <w:b w:val="0"/>
          <w:bCs w:val="0"/>
          <w:color w:val="333333"/>
          <w:sz w:val="24"/>
          <w:szCs w:val="24"/>
          <w:bdr w:val="none" w:color="auto" w:sz="0" w:space="0"/>
          <w:lang w:eastAsia="zh-CN"/>
        </w:rPr>
        <w:t>亿，我国研发人员总量居世界首位。全社会研发经费支出居世界第二位，基础研究和原始创新不断加强，关键核心技术实现重大突破，创新主体和人才的活力进一步释放，我国成功进入创新型国家行列。</w:t>
      </w:r>
    </w:p>
    <w:p w14:paraId="58C6DA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怀进鹏指出，党的二十大突出了创新在我国现代化建设全局中的核心地位，强调教育、科技、人才是全面建设社会主义现代化国家的基础性、战略性支撑，明确到</w:t>
      </w:r>
      <w:r>
        <w:rPr>
          <w:rFonts w:hint="eastAsia" w:ascii="宋体" w:hAnsi="宋体" w:eastAsia="宋体" w:cs="宋体"/>
          <w:b w:val="0"/>
          <w:bCs w:val="0"/>
          <w:color w:val="333333"/>
          <w:sz w:val="24"/>
          <w:szCs w:val="24"/>
          <w:bdr w:val="none" w:color="auto" w:sz="0" w:space="0"/>
          <w:lang w:val="en-US"/>
        </w:rPr>
        <w:t>2035</w:t>
      </w:r>
      <w:r>
        <w:rPr>
          <w:rFonts w:hint="eastAsia" w:ascii="宋体" w:hAnsi="宋体" w:eastAsia="宋体" w:cs="宋体"/>
          <w:b w:val="0"/>
          <w:bCs w:val="0"/>
          <w:color w:val="333333"/>
          <w:sz w:val="24"/>
          <w:szCs w:val="24"/>
          <w:bdr w:val="none" w:color="auto" w:sz="0" w:space="0"/>
          <w:lang w:eastAsia="zh-CN"/>
        </w:rPr>
        <w:t>年建成教育强国、科技强国、人才强国。这次三中全会进一步提出，构建支持全面创新体制机制，统筹推进教育科技人才体制机制一体改革，健全新型举国体制，提升国家创新体系整体效能。这一系列新部署新要求，充分体现了以习近平同志为核心的党中央对创新本质和规律的深刻洞察。</w:t>
      </w:r>
    </w:p>
    <w:p w14:paraId="2DB14D6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color w:val="333333"/>
          <w:sz w:val="21"/>
          <w:szCs w:val="21"/>
          <w:bdr w:val="none" w:color="auto" w:sz="0" w:space="0"/>
        </w:rPr>
        <w:t> “</w:t>
      </w:r>
      <w:r>
        <w:rPr>
          <w:rFonts w:hint="eastAsia" w:ascii="宋体" w:hAnsi="宋体" w:eastAsia="宋体" w:cs="宋体"/>
          <w:b w:val="0"/>
          <w:bCs w:val="0"/>
          <w:color w:val="333333"/>
          <w:sz w:val="24"/>
          <w:szCs w:val="24"/>
          <w:bdr w:val="none" w:color="auto" w:sz="0" w:space="0"/>
          <w:lang w:eastAsia="zh-CN"/>
        </w:rPr>
        <w:t>当今时代，科技是第一生产力，人才是第一资源，创新是第一动力。科技创新靠人才，人才培养靠教育。世界百年变局加速演进，新一轮科技革命和产业变革深入发展，围绕高素质人才和科技制高点的国际竞争空前激烈。这就迫切要求我们走好人才自主培养之路，实现高水平科技自立自强。为此，《中共中央关于进一步全面深化改革、推进中国式现代化的决定》对深化教育科技人才体制机制一体改革作出了重要部署。”怀进鹏说。</w:t>
      </w:r>
    </w:p>
    <w:p w14:paraId="7556ED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一是深化教育综合改革。从教育大国到教育强国是一个系统性跃升和质变，《决定》强调加快建设高质量教育体系，统筹推进育人方式、办学模式、管理体制、保障机制改革。紧扣培养担当民族复兴大任的时代新人，完善立德树人机制，推进大中小学思政课一体化改革创新，健全德智体美劳全面培养体系。着眼拔尖创新人才培养，分类推进高校改革，建立科技发展、国家战略需求牵引的学科调整机制和人才培养模式。坚持强教必先强师，提升教师教书育人能力，健全师德师风建设长效机制。有效利用世界一流教育资源和创新要素，推进高水平教育开放。</w:t>
      </w:r>
    </w:p>
    <w:p w14:paraId="412591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二是深化科技体制改革。坚持“四个面向”的战略导向，着力激发科技创新创造活力，《决定》强调要优化重大科技创新组织机制，加强国家战略科技力量建设，统筹强化关键核心技术攻关。改进科技计划管理，强化基础研究领域、交叉前沿领域、重点领域前瞻性、引领性布局。着眼于科技创新和产业创新深度融合，强化企业主体地位，加强企业主导的产学研深度融合。深化科技成果转化机制改革，构建同科技创新相适应的科技金融体制。</w:t>
      </w:r>
    </w:p>
    <w:p w14:paraId="761723D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三是深化人才发展体制机制改革。着眼加快形成人才培养、使用、评价、服务、支持、激励的有效机制，《决定》强调实施更加积极、更加开放、更加有效的人才政策，完善人才自主培养机制。加快建设国家战略人才力量，着力培养造就战略科学家、一流科技领军人才和创新团队，着力培养造就卓越工程师、大国工匠、高技能人才，提高各类人才素质。强化人才激励机制，坚持向用人主体授权、为人才松绑，建立以创新能力、质量、实效、贡献为导向的人才评价体系，为人才成长营造良好的环境。</w:t>
      </w:r>
    </w:p>
    <w:p w14:paraId="362794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color w:val="333333"/>
          <w:sz w:val="21"/>
          <w:szCs w:val="21"/>
          <w:bdr w:val="none" w:color="auto" w:sz="0" w:space="0"/>
        </w:rPr>
        <w:t> “</w:t>
      </w:r>
      <w:r>
        <w:rPr>
          <w:rFonts w:hint="eastAsia" w:ascii="宋体" w:hAnsi="宋体" w:eastAsia="宋体" w:cs="宋体"/>
          <w:b w:val="0"/>
          <w:bCs w:val="0"/>
          <w:color w:val="333333"/>
          <w:sz w:val="24"/>
          <w:szCs w:val="24"/>
          <w:bdr w:val="none" w:color="auto" w:sz="0" w:space="0"/>
          <w:lang w:eastAsia="zh-CN"/>
        </w:rPr>
        <w:t>总之，要通过进一步深化改革，加快建设教育强国、科技强国、人才强国，形成推动高质量发展的倍增效应，支撑引领中国式现代化。”怀进鹏说。</w:t>
      </w:r>
    </w:p>
    <w:p w14:paraId="423EEEF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黑体" w:hAnsi="宋体" w:eastAsia="黑体" w:cs="黑体"/>
          <w:b w:val="0"/>
          <w:bCs w:val="0"/>
          <w:color w:val="333333"/>
          <w:sz w:val="24"/>
          <w:szCs w:val="24"/>
          <w:bdr w:val="none" w:color="auto" w:sz="0" w:space="0"/>
          <w:lang w:eastAsia="zh-CN"/>
        </w:rPr>
        <w:t>加强制度创新和科技创新“双轮驱动”，服务国家重大战略需求</w:t>
      </w:r>
    </w:p>
    <w:p w14:paraId="7798681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color w:val="333333"/>
          <w:sz w:val="21"/>
          <w:szCs w:val="21"/>
          <w:bdr w:val="none" w:color="auto" w:sz="0" w:space="0"/>
        </w:rPr>
        <w:t> “</w:t>
      </w:r>
      <w:r>
        <w:rPr>
          <w:rFonts w:hint="eastAsia" w:ascii="宋体" w:hAnsi="宋体" w:eastAsia="宋体" w:cs="宋体"/>
          <w:b w:val="0"/>
          <w:bCs w:val="0"/>
          <w:color w:val="333333"/>
          <w:sz w:val="24"/>
          <w:szCs w:val="24"/>
          <w:bdr w:val="none" w:color="auto" w:sz="0" w:space="0"/>
          <w:lang w:eastAsia="zh-CN"/>
        </w:rPr>
        <w:t>上个月公布的</w:t>
      </w:r>
      <w:r>
        <w:rPr>
          <w:rFonts w:hint="eastAsia" w:ascii="宋体" w:hAnsi="宋体" w:eastAsia="宋体" w:cs="宋体"/>
          <w:b w:val="0"/>
          <w:bCs w:val="0"/>
          <w:color w:val="333333"/>
          <w:sz w:val="24"/>
          <w:szCs w:val="24"/>
          <w:bdr w:val="none" w:color="auto" w:sz="0" w:space="0"/>
          <w:lang w:val="en-US"/>
        </w:rPr>
        <w:t>2023</w:t>
      </w:r>
      <w:r>
        <w:rPr>
          <w:rFonts w:hint="eastAsia" w:ascii="宋体" w:hAnsi="宋体" w:eastAsia="宋体" w:cs="宋体"/>
          <w:b w:val="0"/>
          <w:bCs w:val="0"/>
          <w:color w:val="333333"/>
          <w:sz w:val="24"/>
          <w:szCs w:val="24"/>
          <w:bdr w:val="none" w:color="auto" w:sz="0" w:space="0"/>
          <w:lang w:eastAsia="zh-CN"/>
        </w:rPr>
        <w:t>年度国家科学技术奖励中，由高校牵头的占到三大奖励总数的三分之二左右，两位最高科技奖得主李德仁院士和薛其坤院士也都来自高校。请问，下一步要如何通过深化改革进一步提升高校的科技创新能力，提高人才自主培养质量，更加有效服务国家的重大战略需求？”记者提问。</w:t>
      </w:r>
    </w:p>
    <w:p w14:paraId="17D58A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怀进鹏回答时表示，高校是教育、科技、人才的集中交汇点，是基础研究的主力军、重大科技突破的策源地，是国家最宝贵的资源。近年来，高校在国家创新体系中发挥了重要作用。比如，在量子科技、生命科学、物质科学、空间科学等领域，取得一批重大原创成果。下一步，我们将优化高等教育布局，着力强化高校有目标有组织的人才培养、科技创新和社会服务，加强制度创新和科技创新“双轮驱动”，为加快建设世界重要人才中心和创新高地提供有力支撑。</w:t>
      </w:r>
    </w:p>
    <w:p w14:paraId="420F0DA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怀进鹏指出，一是分类推进高校改革。经济社会发展实际上对学校和人才的需求是多样的，在高校中既需要“全能选手”，又要有“单项冠军”。我们将明确各类高校发展定位，建立分类管理、分类评价机制，引导不同类型高校在不同领域、不同赛道塑造并发挥高校的优势，追求卓越、办出特色。加快建设中国特色、世界一流的大学和优势学科，实施一流学科培优行动，聚焦优势突破方向，打造一批一流学科标杆，在重大任务完成中提升学科建设能力。</w:t>
      </w:r>
    </w:p>
    <w:p w14:paraId="765838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二是着力加强创新能力培养。创新之教育培养创造之人才，创造之人才造就创新之国家。我们将聚焦国家重大战略需求与科技发展态势，动态调整高校学科设置，优化人才培养模式，超常布局急需学科专业。深入实施国家基础学科拔尖人才培养战略行动，深化新工科、新医科、新农科、新文科建设，打造一流核心课程、教材、实践项目和师资团队，强化科技教育与人文教育协同，以学生人文底蕴的提升促进科技创新思维的提高，构建高质量拔尖创新人才自主培养体系。</w:t>
      </w:r>
    </w:p>
    <w:p w14:paraId="7A7F34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三是完善高校科技创新机制。我们将实施基础学科与交叉学科突破计划，提升基础研究的组织化程度，把重大任务作为科教融汇的“发动机”，引领学科交叉融合，推动产出更多原创性、颠覆性科技创新成果。特别是将加强青年科技人才培养，通过长周期稳定支持、长周期评价，引导支持一批具有家国情怀、创新能力突出的高校青年教师，开展高水平自由探索，挑战科学“无人区”。我们将提高高校科技成果转化效能，打造高校区域技术转移转化中心，加快布局建设高等研究院，推动高校和企业“双向奔赴”，促进高校科研成果高水平创造、高效率转化，不断助力发展新质生产力。</w:t>
      </w:r>
    </w:p>
    <w:p w14:paraId="2BF8FB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黑体" w:hAnsi="宋体" w:eastAsia="黑体" w:cs="黑体"/>
          <w:b w:val="0"/>
          <w:bCs w:val="0"/>
          <w:color w:val="333333"/>
          <w:sz w:val="24"/>
          <w:szCs w:val="24"/>
          <w:bdr w:val="none" w:color="auto" w:sz="0" w:space="0"/>
          <w:lang w:eastAsia="zh-CN"/>
        </w:rPr>
        <w:t>扩优提质、学生为本、尊师重教、数字赋能，推动实现“上好学”</w:t>
      </w:r>
    </w:p>
    <w:p w14:paraId="0C96235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在回答如何通过进一步深化改革让每个孩子都能享有公平而有质量的教育时，怀进鹏说：“让每个孩子都享有公平而有质量的教育，是坚持以人民为中心发展教育的必然要求。党的十八大以来，我国</w:t>
      </w:r>
      <w:r>
        <w:rPr>
          <w:rFonts w:hint="eastAsia" w:ascii="宋体" w:hAnsi="宋体" w:eastAsia="宋体" w:cs="宋体"/>
          <w:b w:val="0"/>
          <w:bCs w:val="0"/>
          <w:color w:val="333333"/>
          <w:sz w:val="24"/>
          <w:szCs w:val="24"/>
          <w:bdr w:val="none" w:color="auto" w:sz="0" w:space="0"/>
          <w:lang w:val="en-US"/>
        </w:rPr>
        <w:t>2895</w:t>
      </w:r>
      <w:r>
        <w:rPr>
          <w:rFonts w:hint="eastAsia" w:ascii="宋体" w:hAnsi="宋体" w:eastAsia="宋体" w:cs="宋体"/>
          <w:b w:val="0"/>
          <w:bCs w:val="0"/>
          <w:color w:val="333333"/>
          <w:sz w:val="24"/>
          <w:szCs w:val="24"/>
          <w:bdr w:val="none" w:color="auto" w:sz="0" w:space="0"/>
          <w:lang w:eastAsia="zh-CN"/>
        </w:rPr>
        <w:t>个县级行政单位全部实现义务教育基本均衡，教育普及水平实现历史性跨越，其中学前教育、义务教育达到了世界高收入国家平均水平。”</w:t>
      </w:r>
    </w:p>
    <w:p w14:paraId="0D8CB7A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怀进鹏表示，下一步将重点深化“四大类”改革，把高质量发展作为各级各类教育的生命线，把促进公平融入深化教育综合改革的各方面各环节，推动实现从“有学上”到“上好学”的根本性转变。</w:t>
      </w:r>
    </w:p>
    <w:p w14:paraId="764B59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一是在资源配置上，突出扩优提质，加大优质教育资源供给。我们将针对学龄人口峰谷变化做好前瞻性布局，优化区域教育资源配置，建立同人口变化相协调的基本公共教育服务供给机制。完善义务教育优质均衡推进机制，深化集团化办学和城乡结对帮扶，促进新优质学校成长，让群众认可的“好学校”越来越多。</w:t>
      </w:r>
    </w:p>
    <w:p w14:paraId="2E05C0F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二是在教育教学上，突出学生为本，加强素质教育，促进全体学生全面发展。我们将落实立德树人根本任务，不断提高思政课的针对性和吸引力，加强培养学生的体育兴趣、审美能力和劳动习惯，全面普及心理健康教育，促进学生健康成长。持续推进“双减”改革，全面提升课堂教学水平，提高课后服务质量，强化核心素养培养。健全学校家庭社会协同育人机制，完善随迁子女、留守儿童、残疾儿童的关爱体系，营造全社会共同关心关爱的良好环境。</w:t>
      </w:r>
    </w:p>
    <w:p w14:paraId="1F56BC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三是在保障机制上，突出尊师重教，建设高素质专业化教师队伍。我们将进一步健全中国特色教师教育体系，深入实施“国家优秀中小学教师培养计划”，依托“双一流”高校扩大高水平中小学教师培养规模。推进优秀中小学校长、教师到乡村学校、薄弱学校任教，完善保障激励机制，支持教师下得去、教得好、发挥带动引领作用。</w:t>
      </w:r>
    </w:p>
    <w:p w14:paraId="2D7A0D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60" w:lineRule="atLeast"/>
        <w:ind w:left="0" w:right="0" w:firstLine="482"/>
        <w:rPr>
          <w:color w:val="333333"/>
          <w:sz w:val="21"/>
          <w:szCs w:val="21"/>
        </w:rPr>
      </w:pPr>
      <w:r>
        <w:rPr>
          <w:rFonts w:hint="eastAsia" w:ascii="宋体" w:hAnsi="宋体" w:eastAsia="宋体" w:cs="宋体"/>
          <w:b w:val="0"/>
          <w:bCs w:val="0"/>
          <w:color w:val="333333"/>
          <w:sz w:val="24"/>
          <w:szCs w:val="24"/>
          <w:bdr w:val="none" w:color="auto" w:sz="0" w:space="0"/>
          <w:lang w:eastAsia="zh-CN"/>
        </w:rPr>
        <w:t>四是在新路径开辟上，突出数字赋能，发挥智慧教育新优势。教育数字化是缩小教育差距、提高教育质量的一种有效途径。我们将深入实施国家教育数字化战略行动，建强用好国家智慧教育公共服务平台，促进优质教育资源广泛共享。大力推进智慧校园建设，打造中国版人工智能教育大模型，探索大规模因材施教、创新性与个性化教学，更好满足群众“上好学”的需要。</w:t>
      </w:r>
    </w:p>
    <w:p w14:paraId="3B2F9BC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color w:val="333333"/>
          <w:sz w:val="21"/>
          <w:szCs w:val="21"/>
        </w:rPr>
      </w:pPr>
    </w:p>
    <w:p w14:paraId="1780A3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0328D1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26D7907A">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25CAF4A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中共中央印发《中国共产党纪律处分条例》</w:t>
      </w:r>
    </w:p>
    <w:p w14:paraId="46151D1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333333"/>
          <w:sz w:val="21"/>
          <w:szCs w:val="21"/>
        </w:rPr>
      </w:pPr>
    </w:p>
    <w:p w14:paraId="29CEB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default" w:ascii="Arial" w:hAnsi="Arial" w:cs="Arial"/>
          <w:b w:val="0"/>
          <w:bCs w:val="0"/>
          <w:i w:val="0"/>
          <w:iCs w:val="0"/>
          <w:caps w:val="0"/>
          <w:color w:val="333333"/>
          <w:spacing w:val="0"/>
          <w:sz w:val="24"/>
          <w:szCs w:val="24"/>
          <w:bdr w:val="none" w:color="auto" w:sz="0" w:space="0"/>
          <w:shd w:val="clear" w:fill="FFFFFF"/>
          <w:lang w:eastAsia="zh-CN"/>
        </w:rPr>
        <w:t>近日，中共中央印发了修订后的《中国共产党纪律处分条例》（以下简称《条例》），并发出通知，要求各地区各部门认真遵照执行。</w:t>
      </w:r>
    </w:p>
    <w:p w14:paraId="0263E2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default" w:ascii="Arial" w:hAnsi="Arial" w:cs="Arial"/>
          <w:b w:val="0"/>
          <w:bCs w:val="0"/>
          <w:i w:val="0"/>
          <w:iCs w:val="0"/>
          <w:caps w:val="0"/>
          <w:color w:val="333333"/>
          <w:spacing w:val="0"/>
          <w:sz w:val="24"/>
          <w:szCs w:val="24"/>
          <w:bdr w:val="none" w:color="auto" w:sz="0" w:space="0"/>
          <w:shd w:val="clear" w:fill="FFFFFF"/>
          <w:lang w:eastAsia="zh-CN"/>
        </w:rPr>
        <w:t>通知指出，党的二十大对全面加强党的纪律建设作出战略部署。党中央着眼解决大党独有难题、健全全面从严治党体系，对《条例》作了修订。《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14:paraId="4585BDC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default" w:ascii="Arial" w:hAnsi="Arial" w:cs="Arial"/>
          <w:b w:val="0"/>
          <w:bCs w:val="0"/>
          <w:i w:val="0"/>
          <w:iCs w:val="0"/>
          <w:caps w:val="0"/>
          <w:color w:val="333333"/>
          <w:spacing w:val="0"/>
          <w:sz w:val="24"/>
          <w:szCs w:val="24"/>
          <w:bdr w:val="none" w:color="auto" w:sz="0" w:space="0"/>
          <w:shd w:val="clear" w:fill="FFFFFF"/>
          <w:lang w:eastAsia="zh-CN"/>
        </w:rPr>
        <w:t>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要坚持把纪律挺在前面，促进执纪执法贯通，准确运用“四种形态”，落实“三个区分开来”，把从严管理监督和鼓励担当作为高度统一起来。各级纪委（纪检组）要认真履行党章赋予的职责，强化监督执纪问责，敢于善于斗争，严格执纪、精准执纪，不断推动全面从严治党向纵深发展。各地区各部门在执行《条例》中的重要情况和建议，要及时报告党中央。</w:t>
      </w:r>
    </w:p>
    <w:p w14:paraId="4BE80C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default" w:ascii="Arial" w:hAnsi="Arial" w:cs="Arial"/>
          <w:b w:val="0"/>
          <w:bCs w:val="0"/>
          <w:i w:val="0"/>
          <w:iCs w:val="0"/>
          <w:caps w:val="0"/>
          <w:color w:val="333333"/>
          <w:spacing w:val="0"/>
          <w:sz w:val="24"/>
          <w:szCs w:val="24"/>
          <w:bdr w:val="none" w:color="auto" w:sz="0" w:space="0"/>
          <w:shd w:val="clear" w:fill="FFFFFF"/>
          <w:lang w:eastAsia="zh-CN"/>
        </w:rPr>
        <w:t>《条例》全文学习请链接：</w:t>
      </w:r>
      <w:r>
        <w:rPr>
          <w:rFonts w:ascii="Calibri" w:hAnsi="Calibri" w:eastAsia="Calibri" w:cs="Calibri"/>
          <w:i w:val="0"/>
          <w:iCs w:val="0"/>
          <w:caps w:val="0"/>
          <w:color w:val="333333"/>
          <w:spacing w:val="0"/>
          <w:sz w:val="21"/>
          <w:szCs w:val="21"/>
          <w:bdr w:val="none" w:color="auto" w:sz="0" w:space="0"/>
          <w:shd w:val="clear" w:fill="FFFFFF"/>
          <w:lang w:val="en-US"/>
        </w:rPr>
        <w:t>https://www.12371.cn/special/zggcdjlcftl/</w:t>
      </w:r>
      <w:r>
        <w:rPr>
          <w:rFonts w:hint="default" w:ascii="Arial" w:hAnsi="Arial" w:cs="Arial"/>
          <w:b w:val="0"/>
          <w:bCs w:val="0"/>
          <w:i w:val="0"/>
          <w:iCs w:val="0"/>
          <w:caps w:val="0"/>
          <w:color w:val="333333"/>
          <w:spacing w:val="0"/>
          <w:sz w:val="24"/>
          <w:szCs w:val="24"/>
          <w:bdr w:val="none" w:color="auto" w:sz="0" w:space="0"/>
          <w:shd w:val="clear" w:fill="FFFFFF"/>
          <w:lang w:eastAsia="zh-CN"/>
        </w:rPr>
        <w:t>。</w:t>
      </w:r>
    </w:p>
    <w:p w14:paraId="17B274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079EDA9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1365E9F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16D6C8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4F75DDF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06B20C96">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p>
    <w:p w14:paraId="647848DF">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习近平：培养德智体美劳全面发展的</w:t>
      </w:r>
    </w:p>
    <w:p w14:paraId="079814C9">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社会主义建设者和接班人</w:t>
      </w:r>
    </w:p>
    <w:p w14:paraId="70F10A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rFonts w:hint="default" w:ascii="Arial" w:hAnsi="Arial" w:cs="Arial"/>
          <w:i w:val="0"/>
          <w:iCs w:val="0"/>
          <w:caps w:val="0"/>
          <w:color w:val="333333"/>
          <w:spacing w:val="0"/>
          <w:sz w:val="24"/>
          <w:szCs w:val="24"/>
          <w:shd w:val="clear" w:fill="FFFFFF"/>
        </w:rPr>
      </w:pPr>
      <w:r>
        <w:rPr>
          <w:rFonts w:hint="eastAsia" w:ascii="Arial" w:hAnsi="Arial" w:cs="Arial"/>
          <w:i w:val="0"/>
          <w:iCs w:val="0"/>
          <w:caps w:val="0"/>
          <w:color w:val="333333"/>
          <w:spacing w:val="0"/>
          <w:sz w:val="24"/>
          <w:szCs w:val="24"/>
          <w:shd w:val="clear" w:fill="FFFFFF"/>
          <w:lang w:val="en-US"/>
        </w:rPr>
        <w:t>9</w:t>
      </w:r>
      <w:r>
        <w:rPr>
          <w:rFonts w:hint="eastAsia" w:ascii="Arial" w:hAnsi="Arial" w:cs="Arial"/>
          <w:i w:val="0"/>
          <w:iCs w:val="0"/>
          <w:caps w:val="0"/>
          <w:color w:val="333333"/>
          <w:spacing w:val="0"/>
          <w:sz w:val="24"/>
          <w:szCs w:val="24"/>
          <w:shd w:val="clear" w:fill="FFFFFF"/>
          <w:lang w:eastAsia="zh-CN"/>
        </w:rPr>
        <w:t>月</w:t>
      </w:r>
      <w:r>
        <w:rPr>
          <w:rFonts w:hint="eastAsia" w:ascii="Arial" w:hAnsi="Arial" w:cs="Arial"/>
          <w:i w:val="0"/>
          <w:iCs w:val="0"/>
          <w:caps w:val="0"/>
          <w:color w:val="333333"/>
          <w:spacing w:val="0"/>
          <w:sz w:val="24"/>
          <w:szCs w:val="24"/>
          <w:shd w:val="clear" w:fill="FFFFFF"/>
          <w:lang w:val="en-US"/>
        </w:rPr>
        <w:t>1</w:t>
      </w:r>
      <w:r>
        <w:rPr>
          <w:rFonts w:hint="eastAsia" w:ascii="Arial" w:hAnsi="Arial" w:cs="Arial"/>
          <w:i w:val="0"/>
          <w:iCs w:val="0"/>
          <w:caps w:val="0"/>
          <w:color w:val="333333"/>
          <w:spacing w:val="0"/>
          <w:sz w:val="24"/>
          <w:szCs w:val="24"/>
          <w:shd w:val="clear" w:fill="FFFFFF"/>
          <w:lang w:eastAsia="zh-CN"/>
        </w:rPr>
        <w:t>日出版的第</w:t>
      </w:r>
      <w:r>
        <w:rPr>
          <w:rFonts w:hint="eastAsia" w:ascii="Arial" w:hAnsi="Arial" w:cs="Arial"/>
          <w:i w:val="0"/>
          <w:iCs w:val="0"/>
          <w:caps w:val="0"/>
          <w:color w:val="333333"/>
          <w:spacing w:val="0"/>
          <w:sz w:val="24"/>
          <w:szCs w:val="24"/>
          <w:shd w:val="clear" w:fill="FFFFFF"/>
          <w:lang w:val="en-US"/>
        </w:rPr>
        <w:t>17</w:t>
      </w:r>
      <w:r>
        <w:rPr>
          <w:rFonts w:hint="default" w:ascii="Arial" w:hAnsi="Arial" w:cs="Arial"/>
          <w:i w:val="0"/>
          <w:iCs w:val="0"/>
          <w:caps w:val="0"/>
          <w:color w:val="333333"/>
          <w:spacing w:val="0"/>
          <w:sz w:val="24"/>
          <w:szCs w:val="24"/>
          <w:shd w:val="clear" w:fill="FFFFFF"/>
          <w:lang w:eastAsia="zh-CN"/>
        </w:rPr>
        <w:t>期《求是》杂志将发表中共中央总书记、国家主席、中央军委主席习近平的重要文章《培养德智体美劳全面发展的社会主义建设者和接班人》。</w:t>
      </w:r>
    </w:p>
    <w:p w14:paraId="549034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rFonts w:hint="default" w:ascii="Arial" w:hAnsi="Arial" w:cs="Arial"/>
          <w:i w:val="0"/>
          <w:iCs w:val="0"/>
          <w:caps w:val="0"/>
          <w:color w:val="333333"/>
          <w:spacing w:val="0"/>
          <w:sz w:val="24"/>
          <w:szCs w:val="24"/>
          <w:shd w:val="clear" w:fill="FFFFFF"/>
        </w:rPr>
      </w:pPr>
      <w:r>
        <w:rPr>
          <w:rFonts w:hint="default" w:ascii="Arial" w:hAnsi="Arial" w:cs="Arial"/>
          <w:i w:val="0"/>
          <w:iCs w:val="0"/>
          <w:caps w:val="0"/>
          <w:color w:val="333333"/>
          <w:spacing w:val="0"/>
          <w:sz w:val="24"/>
          <w:szCs w:val="24"/>
          <w:shd w:val="clear" w:fill="FFFFFF"/>
        </w:rPr>
        <w:t>文章强调，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要健全全员育人、全过程育人、全方位育人的体制机制，不断培养一代又一代社会主义建设者和接班人。这是教育工作的根本任务，也是教育现代化的方向目标。</w:t>
      </w:r>
    </w:p>
    <w:p w14:paraId="23A0BB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文章指出，我们要培养的社会主义建设者和接班人应该具备什么样的基本素质和精神状态，应该如何培养，关键是要做好以下几方面工作。一是要在坚定理想信念上下功夫。我们培养的人，必须树立共产主义远大理想和中国特色社会主义共同理想。要增强学生的中国特色社会主义道路自信、理论自信、制度自信、文化自信，立志肩负起民族复兴的时代重任。二是要在厚植爱国主义情怀上下功夫。爱国主义是中华民族的民族心、民族魂，培养社会主义建设者和接班人，首先要培养学生的爱国情怀。要教育引导学生热爱和拥护中国共产党，立志听党话、跟党走，立志扎根人民、奉献国家。三是要在加强品德修养上下功夫。立德为先，修身为本，这是人才成长的基本逻辑。要坚持教育引导学生培育和践行社会主义核心价值观，做到品德润身、公德善心、大德铸魂，踏踏实实修好品德，成为有大爱大德大情怀的人。四是要在增长知识见识上下功夫。学习知识是学生的本职。要教育引导学生珍惜学习时光，心无旁骛求知问学，在学习中增长见识，丰富学识，沿着求真理、悟道理、明事理的方向前进。五是要在培养奋斗精神上下功夫。要教育引导学生树立高远志向，历练敢于担当、不懈奋斗的精神，具有勇于奋斗的精神状态、乐观向上的人生态度，真正做到知行合一，做到刚健有为、自强不息。六是要在增强综合素质上下功夫。社会主义建设者和接班人必须全面发展。要教育引导学生培养综合能力，培养创新思维。树立健康第一的教育理念，开齐开足体育课。全面加强和改进学校美育，提高学生审美和人文素养。在学生中弘扬劳动精神，教育引导学生崇尚劳动、尊重劳动。</w:t>
      </w:r>
    </w:p>
    <w:p w14:paraId="200B01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文章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14:paraId="19551A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文章强调，要注重教材建设。教材是传播知识的主要载体，体现着一个国家、一个民族的价值观念体系，是老师教学、学生学习的重要工具。教材要坚持马克思主义指导地位，体现马克思主义中国化要求，体现中国和中华民族风格，体现党和国家对教育的基本要求，体现国家和民族基本价值观，体现人类文化知识积累和创新成果。</w:t>
      </w:r>
    </w:p>
    <w:p w14:paraId="308D9B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516" w:beforeAutospacing="0" w:after="0" w:afterAutospacing="0" w:line="369" w:lineRule="atLeast"/>
        <w:ind w:left="120" w:right="120"/>
        <w:jc w:val="center"/>
        <w:rPr>
          <w:color w:val="333333"/>
          <w:sz w:val="21"/>
          <w:szCs w:val="21"/>
        </w:rPr>
      </w:pPr>
      <w:r>
        <w:rPr>
          <w:rFonts w:ascii="黑体" w:hAnsi="宋体" w:eastAsia="黑体" w:cs="黑体"/>
          <w:i w:val="0"/>
          <w:iCs w:val="0"/>
          <w:caps w:val="0"/>
          <w:color w:val="C00000"/>
          <w:spacing w:val="0"/>
          <w:sz w:val="30"/>
          <w:szCs w:val="30"/>
          <w:bdr w:val="none" w:color="auto" w:sz="0" w:space="0"/>
          <w:shd w:val="clear" w:fill="FFFFFF"/>
        </w:rPr>
        <w:t>培养德智体美劳全面发展的社会主义建设者和接班人※</w:t>
      </w:r>
    </w:p>
    <w:p w14:paraId="573B15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9" w:lineRule="atLeast"/>
        <w:ind w:left="119" w:right="119"/>
        <w:jc w:val="center"/>
        <w:textAlignment w:val="auto"/>
        <w:rPr>
          <w:color w:val="333333"/>
          <w:sz w:val="21"/>
          <w:szCs w:val="21"/>
        </w:rPr>
      </w:pPr>
      <w:r>
        <w:rPr>
          <w:rFonts w:ascii="Microsoft YaHei UI" w:hAnsi="Microsoft YaHei UI" w:eastAsia="Microsoft YaHei UI" w:cs="Microsoft YaHei UI"/>
          <w:i w:val="0"/>
          <w:iCs w:val="0"/>
          <w:caps w:val="0"/>
          <w:color w:val="000000"/>
          <w:spacing w:val="0"/>
          <w:sz w:val="24"/>
          <w:szCs w:val="24"/>
          <w:bdr w:val="none" w:color="auto" w:sz="0" w:space="0"/>
          <w:shd w:val="clear" w:fill="FFFFFF"/>
        </w:rPr>
        <w:t>习近平</w:t>
      </w:r>
    </w:p>
    <w:p w14:paraId="1F4B78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lang w:eastAsia="zh-CN"/>
        </w:rPr>
        <w:t>培养什么人，是教育的首要问题。古人云：“国有贤良之士众，则国家之治厚；贤良之士寡，则国家之治薄。”从历史和现实的角度看，任何国家、任何社会，其维护政治统治、维系社会稳定的基本途径无一不是通过教育。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我们的教育绝不能培养社会主义破坏者和掘墓人，绝不能培养出一些“长着中国脸，不是中国心，没有中国情，缺少中国味”的人！那将是教育的失败。教育的失败是一种根本性失败。我们决不能犯这种历史性错误！这是推进教育现代化、建设教育强国必须把握的大是大非问题，没有什么可隐晦、可商榷、可含糊的。</w:t>
      </w:r>
    </w:p>
    <w:p w14:paraId="044BCF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浇花浇根，育人育心。我们讲不忘初心、牢记使命，推进教育现代化不能忘记初心，要健全全员育人、全过程育人、全方位育人的体制机制，不断培养一代又一代社会主义建设者和接班人。这是教育工作的根本任务，也是教育现代化的方向目标。　　</w:t>
      </w:r>
    </w:p>
    <w:p w14:paraId="6B8A5D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培养社会主义建设者和接班人，不可能一帆风顺，而是需要付出艰苦努力才能完成的任务。长期以来，各种敌对势力从来没有停止对我国实施西化、分化战略，从来没有停止对中国共产党领导和我国社会主义制度进行颠覆破坏活动，始终企图在我国策划“颜色革命”，他们下功夫最大的一个领域就是争夺我们的青少年。毛泽东同志早就说过：“帝国主义说，对我们的第一代、第二代没有希望，第三代、第四代怎么样，有希望。帝国主义的话讲得灵不灵？我不希望它灵，但也可能灵。”现在算起来，在校高校学生大概就处在第三代、第四代这个范围，以后还有第五代、第六代以及十几代、几十代人的问题。争夺青少年的斗争是长期的、严峻的，我们不能输，也输不起。我们一定要警醒！　　</w:t>
      </w:r>
    </w:p>
    <w:p w14:paraId="32B602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我们要培养的社会主义建设者和接班人应该具备什么样的基本素质和精神状态，应该如何培养，我看关键是要做好以下几方面工作。　　</w:t>
      </w:r>
    </w:p>
    <w:p w14:paraId="35B207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一是要在坚定理想信念上下功夫。社会主义建设者和接班人，定语就是“社会主义”，这是我们对培养什么人的本质规定。我们培养的人，必须树立共产主义远大理想和中国特色社会主义共同理想。没有这一条，培养社会主义建设者和接班人就不成立了。现在的青少年长期生活在和平环境之下，没有体验过民族生死存亡的苦难，没有经历过血与火的考验，没有参加过艰难困苦的奋斗，人生阅历很有限。如果不加以正确引导和长期教育，难以树立正确理想信念，甚至可能走偏。要在学生中加强中国历史特别是中国近现代史、中国革命史、中国共产党史、中华人民共和国史、中国改革开放史等的教育，坚持不懈培育和弘扬社会主义核心价值观。只有社会主义才能救中国，只有坚持和发展中国特色社会主义才能实现中华民族伟大复兴。要给学生讲清楚这一被实践证明了的历史逻辑和现实逻辑，增强学生的中国特色社会主义道路自信、理论自信、制度自信、文化自信，不被任何干扰所惑，立志肩负起民族复兴的时代重任。　　</w:t>
      </w:r>
    </w:p>
    <w:p w14:paraId="4D4DAE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二是要在厚植爱国主义情怀上下功夫。爱国主义教育是世界各国教育的必修课。爱国主义是中华民族的民族心、民族魂，培养社会主义建设者和接班人，首先要培养学生的爱国情</w:t>
      </w:r>
      <w:r>
        <w:rPr>
          <w:rFonts w:hint="eastAsia" w:ascii="宋体" w:hAnsi="宋体" w:eastAsia="宋体" w:cs="宋体"/>
          <w:i w:val="0"/>
          <w:iCs w:val="0"/>
          <w:caps w:val="0"/>
          <w:color w:val="333333"/>
          <w:spacing w:val="0"/>
          <w:sz w:val="24"/>
          <w:szCs w:val="24"/>
          <w:bdr w:val="none" w:color="auto" w:sz="0" w:space="0"/>
          <w:shd w:val="clear" w:fill="FFFFFF"/>
        </w:rPr>
        <w:t>怀。1935年</w:t>
      </w:r>
      <w:r>
        <w:rPr>
          <w:rFonts w:hint="default" w:ascii="Arial" w:hAnsi="Arial" w:cs="Arial"/>
          <w:i w:val="0"/>
          <w:iCs w:val="0"/>
          <w:caps w:val="0"/>
          <w:color w:val="333333"/>
          <w:spacing w:val="0"/>
          <w:sz w:val="24"/>
          <w:szCs w:val="24"/>
          <w:bdr w:val="none" w:color="auto" w:sz="0" w:space="0"/>
          <w:shd w:val="clear" w:fill="FFFFFF"/>
        </w:rPr>
        <w:t>，在中华民族危急存亡之际，著名教育家张伯苓在南开大学开学典礼上问了三个问题：你是中国人吗？你爱中国吗？你愿意中国好吗？振奋了师生爱国斗志。我看，这三个问题是历史之问，更是时代之问、未来之问，我们要一代一代问下去、答下去！　　</w:t>
      </w:r>
    </w:p>
    <w:p w14:paraId="5E61B3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弘扬爱国主义精神要从少年儿童抓起，要把爱国主义贯穿教育和精神文明建设全过程。要教育引导学生把自身的理想同祖国的前途、把自己的命运同民族的命运紧密联系在一起，引导学生树立和坚持正确的历史观、民族观、国家观、文化观，增强爱国意识和爱国情感，增强民族自豪感和自信心，让爱国主义精神在学生心中牢牢扎根，时刻不忘自己是中国人。我多次强调，只有坚持爱国和爱党爱社会主义相统一，爱国主义才是鲜活的、真实的，这是当代中国爱国主义精神最重要的体现。要教育引导学生热爱和拥护中国共产党，立志听党话、跟党走，立志扎根人民、奉献国家。　　</w:t>
      </w:r>
    </w:p>
    <w:p w14:paraId="5370C1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三是要在加强品德修养上下功夫。人无德不立，育人的根本在于立德。立德为先，修身为本，这是人才成长的基本逻辑。立德修身，既要立意高远，又要立足平实。爱因斯坦说：“用专业知识教育人是不够的”，“要使学生对价值有所理解并且产生热烈的感情，那是最基本的。他必须获得对美和道德上的善有鲜明的辨别力”。所以，德育既是学生入学的第一课，也是学生离校前的最后一课，必须贯穿学生学习始终，贯穿学校工作各方面各环节，使学校真正成为化育为人的天地，而不仅仅是教授技能、发放文凭的场所。</w:t>
      </w:r>
    </w:p>
    <w:p w14:paraId="35F863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加强品德教育，既有个人品德，也有社会公德、热爱祖国和人民的大德。要坚持教育引导学生培育和践行社会主义核心价值观，做到品德润身、公德善心、大德铸魂。要加强对学生的法治教育，使学生养成遵纪守法的良好习惯。曾有人问一位诺贝尔奖获得者：“您在哪所学校学到了最重要的东西？”他回答：“在幼儿园，我学到了不是自己的东西不要拿、做错事要道歉”，“从根本上说，这是一生学到的最重要的东西”。要教育引导学生从做好小事、管好小节开始起步，踏踏实实修好品德，学会感恩、学会助人，学会谦让、学会宽容，学会自省、学会自律，成为有大爱大德大情怀的人。　　</w:t>
      </w:r>
    </w:p>
    <w:p w14:paraId="5DEAB5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学校具有集中式、系统化、持续性进行中华优秀传统文化教育的独特优势，要把中华优秀传统文化教育作为固本铸魂的基础工程，贯穿人才培养全过程。要深入挖掘和阐发中华优秀传统文化中讲仁爱、重民本、守诚信、崇正义、尚和合、求大同的时代价值，转化为学生价值观教育的丰富营养，积淀学生文化底蕴，提升学生文化素养。要在提炼、转化、融合上下功夫，让收藏在馆所里的文物、陈列在大地上的遗产、书写在古籍里的文字成为教书育人的丰厚资源，让学生在底蕴深厚的课程教材中、在参观名胜古迹的亲身体验中，了解中华文化变迁，触摸中华文化脉络，感受中华文化魅力，汲取中华文化精髓，让中华优秀传统文化基因一代代传承下去。</w:t>
      </w:r>
    </w:p>
    <w:p w14:paraId="3CBA57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四是要在增长知识见识上下功夫。学习知识是学生的本职。《论语》中讲：“博学而笃志，切问而近思，仁在其中矣。”非学无以广才，要教育引导学生珍惜学习时光，心无旁骛求知问学，既要重视知识的宽度，也要重视学习的深度，在学习中增长见识，丰富学识，通晓天下道理，掌握事物发展规律，做到敏于求知、勤于学习、敢于创新、勇于实践，沿着求真理、悟道理、明事理的方向前进。　　</w:t>
      </w:r>
    </w:p>
    <w:p w14:paraId="44A5E4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新时代社会主义建设者和接班人，不仅要有中国情怀，而且要有世界眼光和国际视野。我国古代读书人历来有胸怀天下、匡时济世的志向，也有天下为公、世界大同的理想。要教育引导学生关注世界形势及其发展变化，成为具有中国情怀、全球视野的人才，不仅能肩负起建设祖国的使命，而且能承担起为世界、为人类作贡献的责任。　　</w:t>
      </w:r>
    </w:p>
    <w:p w14:paraId="2DA62D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五是要在培养奋斗精神上下功夫。志存高远是学习进步的动力。“志不立，天下无可成之事”，“古之立大事者，不惟有超世之才，亦必有坚忍不拔之志”。我讲过，实现中华民族伟大复兴，绝不是轻轻松松、敲锣打鼓就能实现的，要付出更为艰巨、更为艰苦的努力。现在的青少年绝大多数在不愁吃穿的环境中长大，培养他们的责任感、坚强意志、吃苦耐劳精神需要比过去付出更多努力。今年</w:t>
      </w:r>
      <w:r>
        <w:rPr>
          <w:rFonts w:hint="default" w:ascii="serif" w:hAnsi="serif" w:eastAsia="serif" w:cs="serif"/>
          <w:i w:val="0"/>
          <w:iCs w:val="0"/>
          <w:caps w:val="0"/>
          <w:color w:val="333333"/>
          <w:spacing w:val="0"/>
          <w:sz w:val="24"/>
          <w:szCs w:val="24"/>
          <w:bdr w:val="none" w:color="auto" w:sz="0" w:space="0"/>
          <w:shd w:val="clear" w:fill="FFFFFF"/>
        </w:rPr>
        <w:t>5</w:t>
      </w:r>
      <w:r>
        <w:rPr>
          <w:rFonts w:hint="default" w:ascii="Arial" w:hAnsi="Arial" w:cs="Arial"/>
          <w:i w:val="0"/>
          <w:iCs w:val="0"/>
          <w:caps w:val="0"/>
          <w:color w:val="333333"/>
          <w:spacing w:val="0"/>
          <w:sz w:val="24"/>
          <w:szCs w:val="24"/>
          <w:bdr w:val="none" w:color="auto" w:sz="0" w:space="0"/>
          <w:shd w:val="clear" w:fill="FFFFFF"/>
        </w:rPr>
        <w:t>月，我在北京大学对大学生提出了“要励志，立鸿鹄志，做奋斗者”的希望。要让青少年明白，无论任何时候奋斗精神都不能丢，正所谓“志不求易，事不避难”。要对学生开展时代使命和责任意识教育，教育引导学生懂得，如果想创造出彩人生，就必须树立高远志向，历练敢于担当、不懈奋斗的精神，具有勇于奋斗的精神状态、乐观向上的人生态度，以行求知，以知促行，真正做到知行合一，做到刚健有为、自强不息。　　</w:t>
      </w:r>
    </w:p>
    <w:p w14:paraId="0AD10F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六是要在增强综合素质上下功夫。社会主义建设者和接班人必须全面发展。我国周朝的官学就要求学生掌握礼、乐、射、御、书、数“六艺”，可谓文理兼备。要教育引导学生培养综合能力，帮助学生学会自我管理、学会同他人合作、学会过集体生活，激发好奇心、想象力，培养创新思维。要把创新教育贯穿教育活动全过程，倡导“处处是创造之地，天天是创造之时，人人是创造之人”的教育氛围，鼓励学生善于奇思妙想并努力实践，以创造之教育培养创造之人才，以创造之人才造就创新之国家。　　</w:t>
      </w:r>
    </w:p>
    <w:p w14:paraId="1B7DE1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现在，全社会都关心青少年身体素质，青少年体质健康水平仍是学生素质的短板，“小胖墩”、“小眼镜”越来越多。前不久，我就我国学生近视呈高发、低龄化趋势问题作了批示。这个问题严重影响孩子们的身心健康，学校和全社会要行动起来，共同呵护好孩子们的眼睛，让他们拥有一个光明的未来。在体育锻炼上学校也面临很多现实问题，不敢放手开展活动，长此下去怎么行？毛泽东同志说，青少年要文明其精神，野蛮其体魄。要树立健康第一的教育理念，开齐开足体育课，帮助学生在体育锻炼中享受乐趣、增强体质、健全人格、锤炼意志。　　</w:t>
      </w:r>
    </w:p>
    <w:p w14:paraId="2C04C2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美是纯洁道德、丰富精神的重要源泉。没有美的滋养的人生必然是单调的、干涸的人</w:t>
      </w:r>
      <w:r>
        <w:rPr>
          <w:rFonts w:hint="eastAsia" w:ascii="宋体" w:hAnsi="宋体" w:eastAsia="宋体" w:cs="宋体"/>
          <w:i w:val="0"/>
          <w:iCs w:val="0"/>
          <w:caps w:val="0"/>
          <w:color w:val="333333"/>
          <w:spacing w:val="0"/>
          <w:sz w:val="24"/>
          <w:szCs w:val="24"/>
          <w:bdr w:val="none" w:color="auto" w:sz="0" w:space="0"/>
          <w:shd w:val="clear" w:fill="FFFFFF"/>
        </w:rPr>
        <w:t>生。今年8月30日，我给中央美院8位</w:t>
      </w:r>
      <w:r>
        <w:rPr>
          <w:rFonts w:hint="default" w:ascii="Arial" w:hAnsi="Arial" w:cs="Arial"/>
          <w:i w:val="0"/>
          <w:iCs w:val="0"/>
          <w:caps w:val="0"/>
          <w:color w:val="333333"/>
          <w:spacing w:val="0"/>
          <w:sz w:val="24"/>
          <w:szCs w:val="24"/>
          <w:bdr w:val="none" w:color="auto" w:sz="0" w:space="0"/>
          <w:shd w:val="clear" w:fill="FFFFFF"/>
        </w:rPr>
        <w:t>老教授回信时专门强调了这个问题。孔子认为教育是“兴于诗”、“成于乐”，其中就包含着对美育的重视。朱光潜先生有句名言：“要求人心净化，先要求人生美化。”如果青少年的精神世界没有童话、歌谣和大自然的云彩、花朵、鸟叫虫鸣，如果青少年的心灵世界没有动人的音符和丰富的颜色，如果青少年没有艺术爱好和艺术修养，不可能全面发展。要全面加强和改进学校美育，配齐配好美育教师，坚持以美育人、以文化人，提高学生审美和人文素养。　　</w:t>
      </w:r>
    </w:p>
    <w:p w14:paraId="621017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劳动可以树德、可以增智、可以强体、可以育美。这次，党中央经过慎重研究，决定把劳动教育纳入社会主义建设者和接班人的要求之中，提出“德智体美劳”的总体要求。现在，一些青少年中出现了不珍惜劳动成果、不想劳动、不会劳动的现象。要在学生中弘扬劳动精神，教育引导学生崇尚劳动、尊重劳动，懂得劳动最光荣、劳动最崇高、劳动最伟大、劳动最美丽的道理，长大后能够辛勤劳动、诚实劳动、创造性劳动。要采取适应当前环境和条件的有效措施，加强劳动教育，组织好形式多样的劳动实践，让学生在实践中养成劳动习惯，学会劳动、学会勤俭。这是强国富民的大事，教育部门同其他部门要一起研究、拿出措施，切实抓起来。　　</w:t>
      </w:r>
    </w:p>
    <w:p w14:paraId="4C0AD2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学生培养得怎么样，要看拿什么样的尺子去衡量，以什么样的眼光去发现。教育不是制造“失败者”的，以分数贴标签的做法必须彻底改！每个学生都是独一无二的个体，禀赋、才能、爱好和特长不尽相同，不能只关注学习好的学生，使很多学生被忽视、被遗忘，体会不到学习的成就和成长的快乐，越来越没有信心。要尊重学生、理解学生、信任学生、激励学生，公平公正对待学生，相信每一个学生都是可塑之才，善于发现每一个学生的闪光点和特长。特别是要关心关爱留守儿童、城乡困境儿童、残疾儿童和学习成长相对落后的学生。清代诗人袁枚有一首诗写得很感人：“白日不到处，青春恰自来。苔花如米小，也学牡丹开。”教育的目光不能总是盯着花园里耀眼的牡丹花，而要更多投向墙角处不起眼的苔花。　　</w:t>
      </w:r>
    </w:p>
    <w:p w14:paraId="330DCC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　　</w:t>
      </w:r>
    </w:p>
    <w:p w14:paraId="405523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38" w:afterAutospacing="0" w:line="460" w:lineRule="atLeast"/>
        <w:ind w:left="0" w:right="0" w:firstLine="482"/>
        <w:jc w:val="both"/>
        <w:textAlignment w:val="auto"/>
        <w:rPr>
          <w:color w:val="333333"/>
          <w:sz w:val="21"/>
          <w:szCs w:val="21"/>
        </w:rPr>
      </w:pPr>
      <w:r>
        <w:rPr>
          <w:rFonts w:hint="default" w:ascii="Arial" w:hAnsi="Arial" w:cs="Arial"/>
          <w:i w:val="0"/>
          <w:iCs w:val="0"/>
          <w:caps w:val="0"/>
          <w:color w:val="333333"/>
          <w:spacing w:val="0"/>
          <w:sz w:val="24"/>
          <w:szCs w:val="24"/>
          <w:bdr w:val="none" w:color="auto" w:sz="0" w:space="0"/>
          <w:shd w:val="clear" w:fill="FFFFFF"/>
        </w:rPr>
        <w:t>这里，我要再强调一下，就是要注重教材建设。教材是传播知识的主要载体，体现着一个国家、一个民族的价值观念体系，是老师教学、学生学习的重要工具。教材要坚持马克思主义指导地位，体现马克思主义中国化要求，体现中国和中华民族风格，体现党和国家对教育的基本要求，体现国家和民族基本价值观，体现人类文化知识积累和创新成果。要大力加强少数民族文字教材建设。教材建设要加强政治把关。政治上把握不对、不到位的教材，要一票否决。简单贴政治标签，不顾教材体系完整、逻辑完备，断章取义塞入政治内容，搞得不伦不类的教材，也要不得。党的十八大以来，我在不同场合就教材建设提过一些要求，有关方面也作出了工作部署，要抓好落实。　　</w:t>
      </w:r>
    </w:p>
    <w:p w14:paraId="4501EB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29" w:afterAutospacing="0" w:line="460" w:lineRule="atLeast"/>
        <w:ind w:left="0" w:right="0" w:firstLine="482"/>
        <w:jc w:val="left"/>
        <w:textAlignment w:val="auto"/>
        <w:rPr>
          <w:rFonts w:hint="eastAsia" w:ascii="宋体" w:hAnsi="宋体" w:eastAsia="宋体" w:cs="宋体"/>
          <w:color w:val="333333"/>
          <w:sz w:val="21"/>
          <w:szCs w:val="21"/>
        </w:rPr>
      </w:pPr>
      <w:r>
        <w:rPr>
          <w:rFonts w:hint="eastAsia" w:ascii="宋体" w:hAnsi="宋体" w:eastAsia="宋体" w:cs="宋体"/>
          <w:i w:val="0"/>
          <w:iCs w:val="0"/>
          <w:caps w:val="0"/>
          <w:color w:val="333333"/>
          <w:spacing w:val="0"/>
          <w:sz w:val="21"/>
          <w:szCs w:val="21"/>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lang w:eastAsia="zh-CN"/>
        </w:rPr>
        <w:t>这是习近平总书记</w:t>
      </w:r>
      <w:r>
        <w:rPr>
          <w:rFonts w:hint="eastAsia" w:ascii="宋体" w:hAnsi="宋体" w:eastAsia="宋体" w:cs="宋体"/>
          <w:i w:val="0"/>
          <w:iCs w:val="0"/>
          <w:caps w:val="0"/>
          <w:color w:val="333333"/>
          <w:spacing w:val="0"/>
          <w:sz w:val="24"/>
          <w:szCs w:val="24"/>
          <w:bdr w:val="none" w:color="auto" w:sz="0" w:space="0"/>
          <w:shd w:val="clear" w:fill="FFFFFF"/>
          <w:lang w:val="en-US"/>
        </w:rPr>
        <w:t>2018</w:t>
      </w:r>
      <w:r>
        <w:rPr>
          <w:rFonts w:hint="eastAsia" w:ascii="宋体" w:hAnsi="宋体" w:eastAsia="宋体" w:cs="宋体"/>
          <w:i w:val="0"/>
          <w:iCs w:val="0"/>
          <w:caps w:val="0"/>
          <w:color w:val="333333"/>
          <w:spacing w:val="0"/>
          <w:sz w:val="24"/>
          <w:szCs w:val="24"/>
          <w:bdr w:val="none" w:color="auto" w:sz="0" w:space="0"/>
          <w:shd w:val="clear" w:fill="FFFFFF"/>
          <w:lang w:eastAsia="zh-CN"/>
        </w:rPr>
        <w:t>年</w:t>
      </w:r>
      <w:r>
        <w:rPr>
          <w:rFonts w:hint="eastAsia" w:ascii="宋体" w:hAnsi="宋体" w:eastAsia="宋体" w:cs="宋体"/>
          <w:i w:val="0"/>
          <w:iCs w:val="0"/>
          <w:caps w:val="0"/>
          <w:color w:val="333333"/>
          <w:spacing w:val="0"/>
          <w:sz w:val="24"/>
          <w:szCs w:val="24"/>
          <w:bdr w:val="none" w:color="auto" w:sz="0" w:space="0"/>
          <w:shd w:val="clear" w:fill="FFFFFF"/>
          <w:lang w:val="en-US"/>
        </w:rPr>
        <w:t>9</w:t>
      </w:r>
      <w:r>
        <w:rPr>
          <w:rFonts w:hint="eastAsia" w:ascii="宋体" w:hAnsi="宋体" w:eastAsia="宋体" w:cs="宋体"/>
          <w:i w:val="0"/>
          <w:iCs w:val="0"/>
          <w:caps w:val="0"/>
          <w:color w:val="333333"/>
          <w:spacing w:val="0"/>
          <w:sz w:val="24"/>
          <w:szCs w:val="24"/>
          <w:bdr w:val="none" w:color="auto" w:sz="0" w:space="0"/>
          <w:shd w:val="clear" w:fill="FFFFFF"/>
          <w:lang w:eastAsia="zh-CN"/>
        </w:rPr>
        <w:t>月</w:t>
      </w:r>
      <w:r>
        <w:rPr>
          <w:rFonts w:hint="eastAsia" w:ascii="宋体" w:hAnsi="宋体" w:eastAsia="宋体" w:cs="宋体"/>
          <w:i w:val="0"/>
          <w:iCs w:val="0"/>
          <w:caps w:val="0"/>
          <w:color w:val="333333"/>
          <w:spacing w:val="0"/>
          <w:sz w:val="24"/>
          <w:szCs w:val="24"/>
          <w:bdr w:val="none" w:color="auto" w:sz="0" w:space="0"/>
          <w:shd w:val="clear" w:fill="FFFFFF"/>
          <w:lang w:val="en-US"/>
        </w:rPr>
        <w:t>10</w:t>
      </w:r>
      <w:r>
        <w:rPr>
          <w:rFonts w:hint="eastAsia" w:ascii="宋体" w:hAnsi="宋体" w:eastAsia="宋体" w:cs="宋体"/>
          <w:i w:val="0"/>
          <w:iCs w:val="0"/>
          <w:caps w:val="0"/>
          <w:color w:val="333333"/>
          <w:spacing w:val="0"/>
          <w:sz w:val="24"/>
          <w:szCs w:val="24"/>
          <w:bdr w:val="none" w:color="auto" w:sz="0" w:space="0"/>
          <w:shd w:val="clear" w:fill="FFFFFF"/>
          <w:lang w:eastAsia="zh-CN"/>
        </w:rPr>
        <w:t>日在全国教育大会上讲话的一部分。（文章来源：</w:t>
      </w:r>
      <w:r>
        <w:rPr>
          <w:rFonts w:hint="eastAsia" w:ascii="宋体" w:hAnsi="宋体" w:eastAsia="宋体" w:cs="宋体"/>
          <w:i w:val="0"/>
          <w:iCs w:val="0"/>
          <w:caps w:val="0"/>
          <w:color w:val="3B3B3B"/>
          <w:spacing w:val="0"/>
          <w:sz w:val="24"/>
          <w:szCs w:val="24"/>
          <w:u w:val="none"/>
          <w:bdr w:val="none" w:color="auto" w:sz="0" w:space="0"/>
          <w:shd w:val="clear" w:fill="FFFFFF"/>
          <w:lang w:eastAsia="zh-CN"/>
        </w:rPr>
        <w:fldChar w:fldCharType="begin"/>
      </w:r>
      <w:r>
        <w:rPr>
          <w:rFonts w:hint="eastAsia" w:ascii="宋体" w:hAnsi="宋体" w:eastAsia="宋体" w:cs="宋体"/>
          <w:i w:val="0"/>
          <w:iCs w:val="0"/>
          <w:caps w:val="0"/>
          <w:color w:val="3B3B3B"/>
          <w:spacing w:val="0"/>
          <w:sz w:val="24"/>
          <w:szCs w:val="24"/>
          <w:u w:val="none"/>
          <w:bdr w:val="none" w:color="auto" w:sz="0" w:space="0"/>
          <w:shd w:val="clear" w:fill="FFFFFF"/>
          <w:lang w:eastAsia="zh-CN"/>
        </w:rPr>
        <w:instrText xml:space="preserve"> HYPERLINK "javascript:void(0);" </w:instrText>
      </w:r>
      <w:r>
        <w:rPr>
          <w:rFonts w:hint="eastAsia" w:ascii="宋体" w:hAnsi="宋体" w:eastAsia="宋体" w:cs="宋体"/>
          <w:i w:val="0"/>
          <w:iCs w:val="0"/>
          <w:caps w:val="0"/>
          <w:color w:val="3B3B3B"/>
          <w:spacing w:val="0"/>
          <w:sz w:val="24"/>
          <w:szCs w:val="24"/>
          <w:u w:val="none"/>
          <w:bdr w:val="none" w:color="auto" w:sz="0" w:space="0"/>
          <w:shd w:val="clear" w:fill="FFFFFF"/>
          <w:lang w:eastAsia="zh-CN"/>
        </w:rPr>
        <w:fldChar w:fldCharType="separate"/>
      </w:r>
      <w:r>
        <w:rPr>
          <w:rStyle w:val="12"/>
          <w:rFonts w:hint="eastAsia" w:ascii="宋体" w:hAnsi="宋体" w:eastAsia="宋体" w:cs="宋体"/>
          <w:i w:val="0"/>
          <w:iCs w:val="0"/>
          <w:caps w:val="0"/>
          <w:color w:val="3B3B3B"/>
          <w:spacing w:val="0"/>
          <w:sz w:val="24"/>
          <w:szCs w:val="24"/>
          <w:u w:val="none"/>
          <w:bdr w:val="none" w:color="auto" w:sz="0" w:space="0"/>
          <w:shd w:val="clear" w:fill="FFFFFF"/>
          <w:lang w:eastAsia="zh-CN"/>
        </w:rPr>
        <w:t>安徽先锋</w:t>
      </w:r>
      <w:r>
        <w:rPr>
          <w:rFonts w:hint="eastAsia" w:ascii="宋体" w:hAnsi="宋体" w:eastAsia="宋体" w:cs="宋体"/>
          <w:i w:val="0"/>
          <w:iCs w:val="0"/>
          <w:caps w:val="0"/>
          <w:color w:val="3B3B3B"/>
          <w:spacing w:val="0"/>
          <w:sz w:val="24"/>
          <w:szCs w:val="24"/>
          <w:u w:val="none"/>
          <w:bdr w:val="none" w:color="auto" w:sz="0" w:space="0"/>
          <w:shd w:val="clear" w:fill="FFFFFF"/>
          <w:lang w:eastAsia="zh-CN"/>
        </w:rPr>
        <w:fldChar w:fldCharType="end"/>
      </w:r>
      <w:r>
        <w:rPr>
          <w:rFonts w:hint="eastAsia" w:ascii="宋体" w:hAnsi="宋体" w:eastAsia="宋体" w:cs="宋体"/>
          <w:i w:val="0"/>
          <w:iCs w:val="0"/>
          <w:caps w:val="0"/>
          <w:color w:val="333333"/>
          <w:spacing w:val="0"/>
          <w:sz w:val="24"/>
          <w:szCs w:val="24"/>
          <w:bdr w:val="none" w:color="auto" w:sz="0" w:space="0"/>
          <w:shd w:val="clear" w:fill="FFFFFF"/>
          <w:lang w:eastAsia="zh-CN"/>
        </w:rPr>
        <w:t> </w:t>
      </w:r>
      <w:r>
        <w:rPr>
          <w:rFonts w:hint="eastAsia" w:ascii="宋体" w:hAnsi="宋体" w:eastAsia="宋体" w:cs="宋体"/>
          <w:i w:val="0"/>
          <w:iCs w:val="0"/>
          <w:caps w:val="0"/>
          <w:color w:val="333333"/>
          <w:spacing w:val="0"/>
          <w:sz w:val="24"/>
          <w:szCs w:val="24"/>
          <w:bdr w:val="none" w:color="auto" w:sz="0" w:space="0"/>
          <w:shd w:val="clear" w:fill="FFFFFF"/>
          <w:lang w:val="en-US"/>
        </w:rPr>
        <w:t>2024</w:t>
      </w:r>
      <w:r>
        <w:rPr>
          <w:rFonts w:hint="eastAsia" w:ascii="宋体" w:hAnsi="宋体" w:eastAsia="宋体" w:cs="宋体"/>
          <w:i w:val="0"/>
          <w:iCs w:val="0"/>
          <w:caps w:val="0"/>
          <w:color w:val="333333"/>
          <w:spacing w:val="0"/>
          <w:sz w:val="24"/>
          <w:szCs w:val="24"/>
          <w:bdr w:val="none" w:color="auto" w:sz="0" w:space="0"/>
          <w:shd w:val="clear" w:fill="FFFFFF"/>
          <w:lang w:eastAsia="zh-CN"/>
        </w:rPr>
        <w:t>年</w:t>
      </w:r>
      <w:r>
        <w:rPr>
          <w:rFonts w:hint="eastAsia" w:ascii="宋体" w:hAnsi="宋体" w:eastAsia="宋体" w:cs="宋体"/>
          <w:i w:val="0"/>
          <w:iCs w:val="0"/>
          <w:caps w:val="0"/>
          <w:color w:val="333333"/>
          <w:spacing w:val="0"/>
          <w:sz w:val="24"/>
          <w:szCs w:val="24"/>
          <w:bdr w:val="none" w:color="auto" w:sz="0" w:space="0"/>
          <w:shd w:val="clear" w:fill="FFFFFF"/>
          <w:lang w:val="en-US"/>
        </w:rPr>
        <w:t>09</w:t>
      </w:r>
      <w:r>
        <w:rPr>
          <w:rFonts w:hint="eastAsia" w:ascii="宋体" w:hAnsi="宋体" w:eastAsia="宋体" w:cs="宋体"/>
          <w:i w:val="0"/>
          <w:iCs w:val="0"/>
          <w:caps w:val="0"/>
          <w:color w:val="333333"/>
          <w:spacing w:val="0"/>
          <w:sz w:val="24"/>
          <w:szCs w:val="24"/>
          <w:bdr w:val="none" w:color="auto" w:sz="0" w:space="0"/>
          <w:shd w:val="clear" w:fill="FFFFFF"/>
          <w:lang w:eastAsia="zh-CN"/>
        </w:rPr>
        <w:t>月</w:t>
      </w:r>
      <w:r>
        <w:rPr>
          <w:rFonts w:hint="eastAsia" w:ascii="宋体" w:hAnsi="宋体" w:eastAsia="宋体" w:cs="宋体"/>
          <w:i w:val="0"/>
          <w:iCs w:val="0"/>
          <w:caps w:val="0"/>
          <w:color w:val="333333"/>
          <w:spacing w:val="0"/>
          <w:sz w:val="24"/>
          <w:szCs w:val="24"/>
          <w:bdr w:val="none" w:color="auto" w:sz="0" w:space="0"/>
          <w:shd w:val="clear" w:fill="FFFFFF"/>
          <w:lang w:val="en-US"/>
        </w:rPr>
        <w:t>01</w:t>
      </w:r>
      <w:r>
        <w:rPr>
          <w:rFonts w:hint="eastAsia" w:ascii="宋体" w:hAnsi="宋体" w:eastAsia="宋体" w:cs="宋体"/>
          <w:i w:val="0"/>
          <w:iCs w:val="0"/>
          <w:caps w:val="0"/>
          <w:color w:val="333333"/>
          <w:spacing w:val="0"/>
          <w:sz w:val="24"/>
          <w:szCs w:val="24"/>
          <w:bdr w:val="none" w:color="auto" w:sz="0" w:space="0"/>
          <w:shd w:val="clear" w:fill="FFFFFF"/>
          <w:lang w:eastAsia="zh-CN"/>
        </w:rPr>
        <w:t>日）</w:t>
      </w:r>
    </w:p>
    <w:p w14:paraId="19E15B3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4737E6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1609A9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313342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0C64B1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487B96A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422F76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3F12633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062A88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7295866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p w14:paraId="49BEB16B">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b/>
          <w:bCs/>
          <w:color w:val="auto"/>
          <w:sz w:val="36"/>
          <w:szCs w:val="36"/>
          <w:lang w:val="en-US" w:eastAsia="zh-CN"/>
        </w:rPr>
      </w:pPr>
      <w:r>
        <w:rPr>
          <w:rFonts w:hint="eastAsia"/>
          <w:b/>
          <w:bCs/>
          <w:color w:val="auto"/>
          <w:sz w:val="36"/>
          <w:szCs w:val="36"/>
          <w:lang w:val="en-US" w:eastAsia="zh-CN"/>
        </w:rPr>
        <w:t>中共中央 国务院关于加快经济社会</w:t>
      </w:r>
    </w:p>
    <w:p w14:paraId="5524C00B">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Theme="minorHAnsi" w:hAnsiTheme="minorHAnsi" w:eastAsiaTheme="minorEastAsia" w:cstheme="minorBidi"/>
          <w:b/>
          <w:bCs/>
          <w:color w:val="auto"/>
          <w:kern w:val="2"/>
          <w:sz w:val="36"/>
          <w:szCs w:val="36"/>
          <w:lang w:val="en-US" w:eastAsia="zh-CN" w:bidi="ar-SA"/>
        </w:rPr>
      </w:pPr>
      <w:r>
        <w:rPr>
          <w:rFonts w:hint="eastAsia"/>
          <w:b/>
          <w:bCs/>
          <w:color w:val="auto"/>
          <w:sz w:val="36"/>
          <w:szCs w:val="36"/>
          <w:lang w:val="en-US" w:eastAsia="zh-CN"/>
        </w:rPr>
        <w:t>发展全面绿色转型的意见</w:t>
      </w:r>
      <w:r>
        <w:rPr>
          <w:rFonts w:hint="eastAsia" w:asciiTheme="minorHAnsi" w:hAnsiTheme="minorHAnsi" w:eastAsiaTheme="minorEastAsia" w:cstheme="minorBidi"/>
          <w:b/>
          <w:bCs/>
          <w:color w:val="auto"/>
          <w:kern w:val="2"/>
          <w:sz w:val="36"/>
          <w:szCs w:val="36"/>
          <w:lang w:val="en-US" w:eastAsia="zh-CN" w:bidi="ar-SA"/>
        </w:rPr>
        <w:t xml:space="preserve"> </w:t>
      </w:r>
    </w:p>
    <w:p w14:paraId="724205B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（2024年7月31日）</w:t>
      </w:r>
    </w:p>
    <w:p w14:paraId="52D3726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auto"/>
          <w:sz w:val="21"/>
          <w:szCs w:val="21"/>
        </w:rPr>
      </w:pPr>
      <w:r>
        <w:rPr>
          <w:rFonts w:hint="eastAsia" w:ascii="宋体" w:hAnsi="宋体" w:eastAsia="宋体" w:cs="宋体"/>
          <w:i w:val="0"/>
          <w:iCs w:val="0"/>
          <w:caps w:val="0"/>
          <w:color w:val="auto"/>
          <w:spacing w:val="0"/>
          <w:sz w:val="24"/>
          <w:szCs w:val="24"/>
          <w:bdr w:val="none" w:color="auto" w:sz="0" w:space="0"/>
          <w:shd w:val="clear" w:fill="FFFFFF"/>
        </w:rPr>
        <w:t>新华社北京8月11日电</w:t>
      </w:r>
    </w:p>
    <w:p w14:paraId="0D184E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推动经济社会发展绿色化、低碳化，是新时代党治国理政新理念新实践的重要标志，是实现高质量发展的关键环节，是解决我国资源环境生态问题的基础之策，是建设人与自然和谐共生现代化的内在要求。为加快经济社会发展全面绿色转型，现提出如下意见。</w:t>
      </w:r>
    </w:p>
    <w:p w14:paraId="2B22C1A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ascii="黑体" w:hAnsi="宋体" w:eastAsia="黑体" w:cs="黑体"/>
          <w:i w:val="0"/>
          <w:iCs w:val="0"/>
          <w:caps w:val="0"/>
          <w:color w:val="333333"/>
          <w:spacing w:val="0"/>
          <w:sz w:val="24"/>
          <w:szCs w:val="24"/>
          <w:bdr w:val="none" w:color="auto" w:sz="0" w:space="0"/>
          <w:shd w:val="clear" w:fill="FFFFFF"/>
        </w:rPr>
        <w:t>一、总体要求</w:t>
      </w:r>
    </w:p>
    <w:p w14:paraId="780E550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坚持以习近平新时代中国特色社会主义思想为指导，深入贯彻党的二十大和二十届二中、三中全会精神，全面贯彻习近平经济思想、习近平生态文明思想，完整准确全面贯彻新发展理念，加快构建新发展格局，坚定不移走生态优先、节约集约、绿色低碳高质量发展道路，以碳达峰碳中和工作为引领，协同推进降碳、减污、扩绿、增长，深化生态文明体制改革，健全绿色低碳发展机制，加快经济社会发展全面绿色转型，形成节约资源和保护环境的空间格局、产业结构、生产方式、生活方式，全面推进美丽中国建设，加快推进人与自然和谐共生的现代化。</w:t>
      </w:r>
    </w:p>
    <w:p w14:paraId="1E200EF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工作中要做到：</w:t>
      </w:r>
    </w:p>
    <w:p w14:paraId="41CD59F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default" w:ascii="Arial" w:hAnsi="Arial" w:cs="Arial"/>
          <w:i w:val="0"/>
          <w:iCs w:val="0"/>
          <w:caps w:val="0"/>
          <w:color w:val="00000A"/>
          <w:spacing w:val="0"/>
          <w:sz w:val="21"/>
          <w:szCs w:val="21"/>
          <w:bdr w:val="none" w:color="auto" w:sz="0" w:space="0"/>
          <w:shd w:val="clear" w:fill="FFFFFF"/>
        </w:rPr>
        <w:t> ——</w:t>
      </w:r>
      <w:r>
        <w:rPr>
          <w:rFonts w:hint="eastAsia" w:ascii="宋体" w:hAnsi="宋体" w:eastAsia="宋体" w:cs="宋体"/>
          <w:i w:val="0"/>
          <w:iCs w:val="0"/>
          <w:caps w:val="0"/>
          <w:color w:val="00000A"/>
          <w:spacing w:val="0"/>
          <w:sz w:val="24"/>
          <w:szCs w:val="24"/>
          <w:bdr w:val="none" w:color="auto" w:sz="0" w:space="0"/>
          <w:shd w:val="clear" w:fill="FFFFFF"/>
        </w:rPr>
        <w:t>坚持全面转型。牢固树立绿水青山就是金山银山的理念，将绿色转型的要求融入经济社会发展全局，全方位、全领域、全地域推进绿色转型，构建人与自然生命共同体。</w:t>
      </w:r>
    </w:p>
    <w:p w14:paraId="718255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default" w:ascii="Arial" w:hAnsi="Arial" w:cs="Arial"/>
          <w:i w:val="0"/>
          <w:iCs w:val="0"/>
          <w:caps w:val="0"/>
          <w:color w:val="00000A"/>
          <w:spacing w:val="0"/>
          <w:sz w:val="21"/>
          <w:szCs w:val="21"/>
          <w:bdr w:val="none" w:color="auto" w:sz="0" w:space="0"/>
          <w:shd w:val="clear" w:fill="FFFFFF"/>
        </w:rPr>
        <w:t> ——</w:t>
      </w:r>
      <w:r>
        <w:rPr>
          <w:rFonts w:hint="eastAsia" w:ascii="宋体" w:hAnsi="宋体" w:eastAsia="宋体" w:cs="宋体"/>
          <w:i w:val="0"/>
          <w:iCs w:val="0"/>
          <w:caps w:val="0"/>
          <w:color w:val="00000A"/>
          <w:spacing w:val="0"/>
          <w:sz w:val="24"/>
          <w:szCs w:val="24"/>
          <w:bdr w:val="none" w:color="auto" w:sz="0" w:space="0"/>
          <w:shd w:val="clear" w:fill="FFFFFF"/>
        </w:rPr>
        <w:t>坚持协同转型。充分考虑不同地区、不同行业的发展实际，坚持统筹推进与重点突破相结合，科学设定绿色转型的时间表、路线图、施工图，鼓励有条件的地区和行业先行探索。</w:t>
      </w:r>
    </w:p>
    <w:p w14:paraId="1640C44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default" w:ascii="Arial" w:hAnsi="Arial" w:cs="Arial"/>
          <w:i w:val="0"/>
          <w:iCs w:val="0"/>
          <w:caps w:val="0"/>
          <w:color w:val="00000A"/>
          <w:spacing w:val="0"/>
          <w:sz w:val="21"/>
          <w:szCs w:val="21"/>
          <w:bdr w:val="none" w:color="auto" w:sz="0" w:space="0"/>
          <w:shd w:val="clear" w:fill="FFFFFF"/>
        </w:rPr>
        <w:t> ——</w:t>
      </w:r>
      <w:r>
        <w:rPr>
          <w:rFonts w:hint="eastAsia" w:ascii="宋体" w:hAnsi="宋体" w:eastAsia="宋体" w:cs="宋体"/>
          <w:i w:val="0"/>
          <w:iCs w:val="0"/>
          <w:caps w:val="0"/>
          <w:color w:val="00000A"/>
          <w:spacing w:val="0"/>
          <w:sz w:val="24"/>
          <w:szCs w:val="24"/>
          <w:bdr w:val="none" w:color="auto" w:sz="0" w:space="0"/>
          <w:shd w:val="clear" w:fill="FFFFFF"/>
        </w:rPr>
        <w:t>坚持创新转型。强化支撑绿色转型的科技创新、政策制度创新、商业模式创新，推进绿色低碳科技革命，因地制宜发展新质生产力，完善生态文明制度体系，为绿色转型提供更强创新动能和制度保障。</w:t>
      </w:r>
    </w:p>
    <w:p w14:paraId="2FFF3A1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default" w:ascii="Arial" w:hAnsi="Arial" w:cs="Arial"/>
          <w:i w:val="0"/>
          <w:iCs w:val="0"/>
          <w:caps w:val="0"/>
          <w:color w:val="00000A"/>
          <w:spacing w:val="0"/>
          <w:sz w:val="21"/>
          <w:szCs w:val="21"/>
          <w:bdr w:val="none" w:color="auto" w:sz="0" w:space="0"/>
          <w:shd w:val="clear" w:fill="FFFFFF"/>
        </w:rPr>
        <w:t> ——</w:t>
      </w:r>
      <w:r>
        <w:rPr>
          <w:rFonts w:hint="eastAsia" w:ascii="宋体" w:hAnsi="宋体" w:eastAsia="宋体" w:cs="宋体"/>
          <w:i w:val="0"/>
          <w:iCs w:val="0"/>
          <w:caps w:val="0"/>
          <w:color w:val="00000A"/>
          <w:spacing w:val="0"/>
          <w:sz w:val="24"/>
          <w:szCs w:val="24"/>
          <w:bdr w:val="none" w:color="auto" w:sz="0" w:space="0"/>
          <w:shd w:val="clear" w:fill="FFFFFF"/>
        </w:rPr>
        <w:t>坚持安全转型。统筹处理好发展和减排、整体和局部、当前和长远、政府和市场的关系，妥善防范化解绿色转型面临的内外部风险挑战，切实保障粮食能源安全、产业链供应链安全，更好保障人民群众生产生活。</w:t>
      </w:r>
    </w:p>
    <w:p w14:paraId="730D06C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主要目标是：到2030年，重点领域绿色转型取得积极进展，绿色生产方式和生活方式基本形成，减污降碳协同能力显著增强，主要资源利用效率进一步提升，支持绿色发展的政策和标准体系更加完善，经济社会发展全面绿色转型取得显著成效。到2035年，绿色低碳循环发展经济体系基本建立，绿色生产方式和生活方式广泛形成，减污降碳协同增效取得显著进展，主要资源利用效率达到国际先进水平，经济社会发展全面进入绿色低碳轨道，碳排放达峰后稳中有降，美丽中国目标基本实现。</w:t>
      </w:r>
    </w:p>
    <w:p w14:paraId="51034E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黑体" w:hAnsi="宋体" w:eastAsia="黑体" w:cs="黑体"/>
          <w:i w:val="0"/>
          <w:iCs w:val="0"/>
          <w:caps w:val="0"/>
          <w:color w:val="333333"/>
          <w:spacing w:val="0"/>
          <w:sz w:val="24"/>
          <w:szCs w:val="24"/>
          <w:bdr w:val="none" w:color="auto" w:sz="0" w:space="0"/>
          <w:shd w:val="clear" w:fill="FFFFFF"/>
        </w:rPr>
        <w:t>二、构建绿色低碳高质量发展空间格局</w:t>
      </w:r>
    </w:p>
    <w:p w14:paraId="7EA70EC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一）优化国土空间开发保护格局。健全全国统一、责权清晰、科学高效的国土空间规划体系，严守耕地和永久基本农田、生态保护红线、城镇开发边界三条控制线，优化各类空间布局。健全主体功能区制度体系，推进主体功能综合布局，细化主体功能区划分，完善差异化政策。加快建设以国家公园为主体、自然保护区为基础、各类自然公园为补充的自然保护地体系。加强生态环境分区管控。健全海洋资源开发保护制度，系统谋划海洋开发利用，推进陆海协同可持续发展。</w:t>
      </w:r>
    </w:p>
    <w:p w14:paraId="3616CC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二）打造绿色发展高地。加强区域绿色发展协作，统筹推进协调发展和协同转型，打造绿色低碳高质量发展的增长极和动力源。推进京津冀协同发展，完善生态环境协同保护机制，支持雄安新区建设成为绿色发展城市典范。持续推进长江经济带共抓大保护，探索生态优先、绿色发展新路径。深入推进粤港澳大湾区建设和长三角一体化发展，打造世界级绿色低碳产业集群。推动海南自由贸易港建设、黄河流域生态保护和高质量发展。建设美丽中国先行区。持续加大对资源型地区和革命老区绿色转型的支持力度，培育发展绿色低碳产业。</w:t>
      </w:r>
    </w:p>
    <w:p w14:paraId="7E1F7C7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黑体" w:hAnsi="宋体" w:eastAsia="黑体" w:cs="黑体"/>
          <w:i w:val="0"/>
          <w:iCs w:val="0"/>
          <w:caps w:val="0"/>
          <w:color w:val="333333"/>
          <w:spacing w:val="0"/>
          <w:sz w:val="24"/>
          <w:szCs w:val="24"/>
          <w:bdr w:val="none" w:color="auto" w:sz="0" w:space="0"/>
          <w:shd w:val="clear" w:fill="FFFFFF"/>
        </w:rPr>
        <w:t>三、加快产业结构绿色低碳转型</w:t>
      </w:r>
    </w:p>
    <w:p w14:paraId="500527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三）推动传统产业绿色低碳改造升级。大力推动钢铁、有色、石化、化工、建材、造纸、印染等行业绿色低碳转型，推广节能低碳和清洁生产技术装备，推进工艺流程更新升级。优化产能规模和布局，持续更新土地、环境、能效、水效和碳排放等约束性标准，以国家标准提升引领传统产业优化升级，建立健全产能退出机制。合理提高新建、改扩建项目资源环境准入门槛，坚决遏制高耗能、高排放、低水平项目盲目上马。</w:t>
      </w:r>
    </w:p>
    <w:p w14:paraId="6428C0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四）大力发展绿色低碳产业。加快发展战略性新兴产业，建设绿色制造体系和服务体系，不断提升绿色低碳产业在经济总量中的比重。加快培育有竞争力的绿色低碳企业，打造一批领军企业和专精特新中小企业。大力推广合同能源管理、合同节水管理、环境污染第三方治理等模式和以环境治理效果为导向的环境托管服务。推动文化产业高质量发展，促进文化和旅游深度融合发展。积极鼓励绿色低碳导向的新产业、新业态、新商业模式加快发展。到2030年，节能环保产业规模达到15万亿元左右。</w:t>
      </w:r>
    </w:p>
    <w:p w14:paraId="5A5575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五）加快数字化绿色化协同转型发展。推进产业数字化智能化同绿色化的深度融合，深化人工智能、大数据、云计算、工业互联网等在电力系统、工农业生产、交通运输、建筑建设运行等领域的应用，实现数字技术赋能绿色转型。推动各类用户“上云、用数、赋智”，支持企业用数智技术、绿色技术改造提升传统产业。推动绿色低碳数字基础设施建设，推进既有设施节能降碳改造，逐步淘汰“老旧小散”设施。引导数字科技企业绿色低碳发展，助力上下游企业提高减碳能力。探索建立环境污染和气象灾害高效监测、主动预警、科学分析、智能决策系统。推进实景三维中国建设与时空信息赋能应用。</w:t>
      </w:r>
    </w:p>
    <w:p w14:paraId="50B1CF0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黑体" w:hAnsi="宋体" w:eastAsia="黑体" w:cs="黑体"/>
          <w:i w:val="0"/>
          <w:iCs w:val="0"/>
          <w:caps w:val="0"/>
          <w:color w:val="333333"/>
          <w:spacing w:val="0"/>
          <w:sz w:val="24"/>
          <w:szCs w:val="24"/>
          <w:bdr w:val="none" w:color="auto" w:sz="0" w:space="0"/>
          <w:shd w:val="clear" w:fill="FFFFFF"/>
        </w:rPr>
        <w:t>四、稳妥推进能源绿色低碳转型</w:t>
      </w:r>
    </w:p>
    <w:p w14:paraId="102CDD9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六）加强化石能源清洁高效利用。加强能源产供储销体系建设，坚持先立后破，推进非化石能源安全可靠有序替代化石能源，持续优化能源结构，加快规划建设新型能源体系。坚决控制化石能源消费，深入推动煤炭清洁高效利用，“十四五”时期严格合理控制煤炭消费增长，接下来5年逐步减少，在保障能源安全供应的前提下，重点区域继续实施煤炭消费总量控制，积极有序推进散煤替代。加快现役煤电机组节能降碳改造、灵活性改造、供热改造“三改联动”，合理规划建设保障电力系统安全所必需的调节性、支撑性煤电。加大油气资源勘探开发和增储上产力度，加快油气勘探开发与新能源融合发展。推进二氧化碳捕集利用与封存项目建设。</w:t>
      </w:r>
    </w:p>
    <w:p w14:paraId="7AD224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七）大力发展非化石能源。加快西北风电光伏、西南水电、海上风电、沿海核电等清洁能源基地建设，积极发展分布式光伏、分散式风电，因地制宜开发生物质能、地热能、海洋能等新能源，推进氢能“制储输用”全链条发展。统筹水电开发和生态保护，推进水风光一体化开发。积极安全有序发展核电，保持合理布局和平稳建设节奏。到2030年，非化石能源消费比重提高到25%左右。</w:t>
      </w:r>
    </w:p>
    <w:p w14:paraId="0099550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八）加快构建新型电力系统。加强清洁能源基地、调节性资源和输电通道在规模能力、空间布局、建设节奏等方面的衔接协同，鼓励在气源可落实、气价可承受地区布局天然气调峰电站，科学布局抽水蓄能、新型储能、光热发电，提升电力系统安全运行和综合调节能力。建设智能电网，加快微电网、虚拟电厂、源网荷储一体化项目建设。加强电力需求侧管理。深化电力体制改革，进一步健全适应新型电力系统的体制机制。到2030年，抽水蓄能装机容量超过1.2亿千瓦。</w:t>
      </w:r>
    </w:p>
    <w:p w14:paraId="1B9B53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黑体" w:hAnsi="宋体" w:eastAsia="黑体" w:cs="黑体"/>
          <w:i w:val="0"/>
          <w:iCs w:val="0"/>
          <w:caps w:val="0"/>
          <w:color w:val="333333"/>
          <w:spacing w:val="0"/>
          <w:sz w:val="24"/>
          <w:szCs w:val="24"/>
          <w:bdr w:val="none" w:color="auto" w:sz="0" w:space="0"/>
          <w:shd w:val="clear" w:fill="FFFFFF"/>
        </w:rPr>
        <w:t>五、推进交通运输绿色转型</w:t>
      </w:r>
    </w:p>
    <w:p w14:paraId="68E0F3C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九）优化交通运输结构。构建绿色高效交通运输体系，完善国家铁路、公路、水运网络，推动不同运输方式合理分工、有效衔接，降低空载率和不合理客货运周转量。大力推进多式联运“一单制”、“一箱制”发展，加快货运专用铁路和内河高等级航道网建设，推进主要港口、大型工矿企业和物流园区铁路专用线建设，提高绿色集疏运比例，持续提高大宗货物的铁路、水路运输比重。优化民航航路航线，提升机场运行电动化智能化水平。</w:t>
      </w:r>
    </w:p>
    <w:p w14:paraId="3189C1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十）建设绿色交通基础设施。提升新建车站、机场、码头、高速公路设施绿色化智能化水平，推进既有交通基础设施节能降碳改造提升，建设一批低碳（近零碳）车站、机场、码头、高速公路服务区，因地制宜发展高速公路沿线光伏。完善充（换）电站、加氢（醇）站、岸电等基础设施网络，加快建设城市智慧交通管理系统。完善城乡物流配送体系，推动配送方式绿色智能转型。深入实施城市公共交通优先发展战略，提升公共交通服务水平。加强人行步道和自行车专用道等城市慢行系统建设。</w:t>
      </w:r>
    </w:p>
    <w:p w14:paraId="2EDD05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十一）推广低碳交通运输工具。大力推广新能源汽车，推动城市公共服务车辆电动化替代。推动船舶、航空器、非道路移动机械等采用清洁动力，加快淘汰老旧运输工具，推进零排放货运，加强可持续航空燃料研发应用，鼓励净零排放船用燃料研发生产应用。到2030年，营运交通工具单位换算周转量碳排放强度比2020年下降9.5%左右。到2035年，新能源汽车成为新销售车辆的主流。</w:t>
      </w:r>
    </w:p>
    <w:p w14:paraId="47188C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黑体" w:hAnsi="宋体" w:eastAsia="黑体" w:cs="黑体"/>
          <w:i w:val="0"/>
          <w:iCs w:val="0"/>
          <w:caps w:val="0"/>
          <w:color w:val="00000A"/>
          <w:spacing w:val="0"/>
          <w:sz w:val="24"/>
          <w:szCs w:val="24"/>
          <w:bdr w:val="none" w:color="auto" w:sz="0" w:space="0"/>
          <w:shd w:val="clear" w:fill="FFFFFF"/>
        </w:rPr>
        <w:t>六、推进城乡建设发展绿色转型</w:t>
      </w:r>
    </w:p>
    <w:p w14:paraId="61D4664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十二）推行绿色规划建设方式。在城乡的规划、建设、治理各环节全面落实绿色转型要求。倡导绿色低碳规划设计理念，严守城镇开发边界，控制新增建设用地过快增长，保护和修复绿地、水域、湿地等生态空间，合理规划噪声敏感建筑物集中区域。推进气候适应型城市建设，增强城乡气候韧性。推广绿色建造方式，优先选用绿色建材，深化扬尘污染综合治理。</w:t>
      </w:r>
    </w:p>
    <w:p w14:paraId="275635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十三）大力发展绿色低碳建筑。建立建筑能效等级制度。提升新建建筑中星级绿色建筑比例，推动超低能耗建筑规模化发展。加快既有建筑和市政基础设施节能节水降碳改造，推广先进高效照明、空调、电梯等设备。优化建筑用能结构，推进建筑光伏一体化建设，推动“光储直柔”技术应用，发展清洁低碳供暖。</w:t>
      </w:r>
    </w:p>
    <w:p w14:paraId="55D0BF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十四）推动农业农村绿色发展。实施农业农村减排固碳行动，优化种养结构，推广优良作物畜禽品种和绿色高效栽培养殖技术，推进化肥、农药等农业投入品减量增效。建立健全秸秆、农膜、农药包装废弃物、畜禽粪污等农业废弃物收集利用处理体系，加强秸秆禁烧管控。深入推进农村人居环境整治提升，培育乡村绿色发展新产业新业态。因地制宜开发利用可再生能源，有序推进农村地区清洁取暖。</w:t>
      </w:r>
    </w:p>
    <w:p w14:paraId="2E072C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黑体" w:hAnsi="宋体" w:eastAsia="黑体" w:cs="黑体"/>
          <w:i w:val="0"/>
          <w:iCs w:val="0"/>
          <w:caps w:val="0"/>
          <w:color w:val="00000A"/>
          <w:spacing w:val="0"/>
          <w:sz w:val="24"/>
          <w:szCs w:val="24"/>
          <w:bdr w:val="none" w:color="auto" w:sz="0" w:space="0"/>
          <w:shd w:val="clear" w:fill="FFFFFF"/>
        </w:rPr>
        <w:t>七、实施全面节约战略</w:t>
      </w:r>
    </w:p>
    <w:p w14:paraId="458531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十五）大力推进节能降碳增效。高水平、高质量抓好节能工作，推动重点行业节能降碳改造，加快设备产品更新换代升级。构建碳排放统计核算体系，加强固定资产投资项目节能审查，探索开展项目碳排放评价，严把新上项目能耗和碳排放关。推动企业建立健全节能降碳管理机制，推广节能降碳“诊断+改造”模式，强化节能监察。</w:t>
      </w:r>
    </w:p>
    <w:p w14:paraId="2FEA99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十六）加强资源节约集约高效利用。完善资源总量管理和全面节约制度，加强水、粮食、土地、矿产等各类资源的全过程管理和全链条节约。落实水资源刚性约束制度，发展节水产业，加强非常规水源利用，建设节水型社会。落实反食品浪费法，健全粮食和食物节约长效机制，开展粮食节约行动。落实最严格的耕地保护制度和土地节约集约利用制度，推广节地技术和节地模式，优化存量土地开发利用，提升海域空间利用效率。加强矿产资源勘查、保护和合理开发，提高开采效率，加强低品位资源利用。</w:t>
      </w:r>
    </w:p>
    <w:p w14:paraId="27617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十七）大力发展循环经济。深入推进循环经济助力降碳行动，推广资源循环型生产模式，大力发展资源循环利用产业，推动再制造产业高质量发展，提高再生材料和产品质量，扩大对原生资源的替代规模。推进生活垃圾分类，提升资源化利用率。健全废弃物循环利用体系，强化废弃物分类处置和回收能力，提升再生利用规模化、规范化、精细化水平。到2030年，大宗固体废弃物年利用量达到45亿吨左右，主要资源产出率比2020年提高45%左右。</w:t>
      </w:r>
    </w:p>
    <w:p w14:paraId="33691A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黑体" w:hAnsi="宋体" w:eastAsia="黑体" w:cs="黑体"/>
          <w:i w:val="0"/>
          <w:iCs w:val="0"/>
          <w:caps w:val="0"/>
          <w:color w:val="00000A"/>
          <w:spacing w:val="0"/>
          <w:sz w:val="24"/>
          <w:szCs w:val="24"/>
          <w:bdr w:val="none" w:color="auto" w:sz="0" w:space="0"/>
          <w:shd w:val="clear" w:fill="FFFFFF"/>
        </w:rPr>
        <w:t>八、推动消费模式绿色转型</w:t>
      </w:r>
    </w:p>
    <w:p w14:paraId="18A3B4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十八）推广绿色生活方式。大力倡导简约适度、绿色低碳、文明健康的生活理念和消费方式，将绿色理念和节约要求融入市民公约、村规民约、学生守则、团体章程等社会规范，增强全民节约意识、环保意识、生态意识。开展绿色低碳全民行动，引导公众节约用水用电、反对铺张浪费、推广“光盘行动”、抵制过度包装、减少一次性用品使用，引导公众优先选择公共交通、步行、自行车等绿色出行方式，广泛开展爱国卫生运动，推动解决噪声、油烟、恶臭等群众身边的环境问题，形成崇尚生态文明的社会氛围。</w:t>
      </w:r>
    </w:p>
    <w:p w14:paraId="5F9868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十九）加大绿色产品供给。引导企业开展绿色设计、选择绿色材料、推行绿色制造、采用绿色包装、开展绿色运输、回收利用资源，降低产品全生命周期能源资源消耗和生态环境影响。建立健全绿色产品设计、采购、制造标准规范，加强绿色产品认证与标识体系建设，完善能效、水效标识制度，建立产品碳足迹管理体系和产品碳标识认证制度。加强绿色产品和服务认证管理，完善认证机构监管机制，培育具有国际影响力的绿色认证机构。</w:t>
      </w:r>
    </w:p>
    <w:p w14:paraId="6043A00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二十）积极扩大绿色消费。健全绿色消费激励机制。优化政府绿色采购政策，拓展绿色产品采购范围和规模，适时将碳足迹要求纳入政府采购。引导企业执行绿色采购指南，鼓励有条件的企业建立绿色供应链，带动上下游企业协同转型。支持有条件的地区通过发放消费券、绿色积分等途径，鼓励企业采取“以旧换新”等方式，引导消费者购买绿色产品。开展新能源汽车和绿色智能家电、节水器具、节能灶具、绿色建材下乡活动，加强配套设施建设和售后服务保障。鼓励用户扩大绿色能源消费。</w:t>
      </w:r>
    </w:p>
    <w:p w14:paraId="26A904E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黑体" w:hAnsi="宋体" w:eastAsia="黑体" w:cs="黑体"/>
          <w:i w:val="0"/>
          <w:iCs w:val="0"/>
          <w:caps w:val="0"/>
          <w:color w:val="00000A"/>
          <w:spacing w:val="0"/>
          <w:sz w:val="24"/>
          <w:szCs w:val="24"/>
          <w:bdr w:val="none" w:color="auto" w:sz="0" w:space="0"/>
          <w:shd w:val="clear" w:fill="FFFFFF"/>
        </w:rPr>
        <w:t>九、发挥科技创新支撑作用</w:t>
      </w:r>
    </w:p>
    <w:p w14:paraId="38ACAE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二十一）强化应用基础研究。建立前沿引领技术、颠覆性技术的预测、发现、评估和预警机制，适度超前布局国家重大科研基础设施，组建一批全国重点实验室和国家创新平台，实施一批国家重大前沿科技项目，着力加强绿色低碳领域应用基础研究，激发颠覆性技术创新。创新人才培养模式，优化高校学科专业设置，夯实绿色转型智力基础。</w:t>
      </w:r>
    </w:p>
    <w:p w14:paraId="3B6E690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二十二）加快关键技术研发。推进绿色低碳科技自立自强，将绿色转型相关技术作为国家重点研发计划相关重点专项的重要支持方向，聚焦能源绿色低碳转型、低碳零碳工艺流程再造、新型电力系统、二氧化碳捕集利用与封存、资源节约集约与循环利用、新污染物治理等领域，统筹强化关键核心技术攻关。强化企业科技创新主体地位，支持龙头企业牵头组建关键核心技术攻关联合体，加大对中小企业绿色低碳技术研发的资助力度，鼓励各类所有制企业参与相关国家科技计划。</w:t>
      </w:r>
    </w:p>
    <w:p w14:paraId="1935E66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二十三）开展创新示范推广。发挥创新对绿色转型的关键引领作用。开展多层次试点，推进工业、能源、交通运输、城乡建设、农业等重点领域减污降碳协同增效。实施绿色低碳先进技术示范工程，加快先进适用技术示范应用和推广。完善绿色低碳技术评估、交易体系和科技创新服务平台，探索有利于绿色低碳新产业新业态发展的商业模式，加强绿色低碳技术知识产权创造、保护、运用，激发全社会创新活力。</w:t>
      </w:r>
    </w:p>
    <w:p w14:paraId="3D74B07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黑体" w:hAnsi="宋体" w:eastAsia="黑体" w:cs="黑体"/>
          <w:i w:val="0"/>
          <w:iCs w:val="0"/>
          <w:caps w:val="0"/>
          <w:color w:val="00000A"/>
          <w:spacing w:val="0"/>
          <w:sz w:val="24"/>
          <w:szCs w:val="24"/>
          <w:bdr w:val="none" w:color="auto" w:sz="0" w:space="0"/>
          <w:shd w:val="clear" w:fill="FFFFFF"/>
        </w:rPr>
        <w:t>十、完善绿色转型政策体系</w:t>
      </w:r>
    </w:p>
    <w:p w14:paraId="7F016F0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二十四）健全绿色转型财税政策。积极构建有利于促进绿色低碳发展和资源高效利用的财税政策体系，支持新型能源体系建设、传统行业改造升级、绿色低碳科技创新、能源资源节约集约利用和绿色低碳生活方式推广等领域工作。落实环境保护、节能节水、资源综合利用、新能源和清洁能源车船税收优惠。完善绿色税制，全面推行水资源费改税，完善环境保护税征收体系，研究支持碳减排相关税收政策。</w:t>
      </w:r>
    </w:p>
    <w:p w14:paraId="2CD6FAF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二十五）丰富绿色转型金融工具。延长碳减排支持工具实施年限至2027年年末。研究制定转型金融标准，为传统行业领域绿色低碳转型提供合理必要的金融支持。鼓励银行在合理评估风险基础上引导信贷资源绿色化配置，有条件的地方可通过政府性融资担保机构支持绿色信贷发展。鼓励地方政府通过多种方式降低绿色债券融资成本。积极发展绿色股权融资、绿色融资租赁、绿色信托等金融工具，有序推进碳金融产品和衍生工具创新。发展绿色保险，探索建立差别化保险费率机制。</w:t>
      </w:r>
    </w:p>
    <w:p w14:paraId="068BB70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二十六）优化绿色转型投资机制。创新和优化投资机制，鼓励各类资本提升绿色低碳领域投资比例。中央预算内投资对绿色低碳先进技术示范、重点行业节能降碳、资源高效循环利用、环境基础设施建设等领域重点项目积极予以支持。引导和规范社会资本参与绿色低碳项目投资、建设、运营，鼓励社会资本以市场化方式设立绿色低碳产业投资基金。支持符合条件的新能源、生态环境保护等绿色转型相关项目发行基础设施领域不动产投资信托基金（REITs）。</w:t>
      </w:r>
    </w:p>
    <w:p w14:paraId="02B8E8C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二十七）完善绿色转型价格政策。深化电力价格改革，完善鼓励灵活性电源参与系统调节的价格机制，实行煤电容量电价机制，研究建立健全新型储能价格形成机制，健全阶梯电价制度和分时电价政策，完善高耗能行业阶梯电价制度。完善居民阶梯水价、非居民用水及特种用水超定额累进加价政策，推进农业水价综合改革。支持地方完善收费模式，推进生活垃圾处理收费方式改革，建立城镇生活垃圾分类和减量激励机制。</w:t>
      </w:r>
    </w:p>
    <w:p w14:paraId="4F53863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二十八）健全绿色转型市场化机制。健全资源环境要素市场化配置体系，完善交易制度规范及登记、出让、转让、抵押等配套制度，探索基于资源环境权益的融资工具。健全横向生态保护补偿机制，完善生态产品价值实现机制。推进全国碳排放权交易市场和温室气体自愿减排交易市场建设，健全法规制度，适时有序扩大交易行业范围。完善绿色电力证书交易制度，加强绿电、绿证、碳交易等市场化机制的政策协同。</w:t>
      </w:r>
    </w:p>
    <w:p w14:paraId="5CE7F7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二十九）构建绿色发展标准体系。建立碳达峰碳中和标准体系，推进基础通用标准及碳减排、碳清除相关标准制定修订，制定企业碳排放和产品碳足迹核算、报告、核查等标准。加快节能标准更新升级，提升重点产品能耗限额要求，扩大能耗限额标准覆盖范围。完善可再生能源标准体系和工业绿色低碳标准体系，建立健全氢能“制储输用”标准。</w:t>
      </w:r>
    </w:p>
    <w:p w14:paraId="1574A2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黑体" w:hAnsi="宋体" w:eastAsia="黑体" w:cs="黑体"/>
          <w:i w:val="0"/>
          <w:iCs w:val="0"/>
          <w:caps w:val="0"/>
          <w:color w:val="00000A"/>
          <w:spacing w:val="0"/>
          <w:sz w:val="24"/>
          <w:szCs w:val="24"/>
          <w:bdr w:val="none" w:color="auto" w:sz="0" w:space="0"/>
          <w:shd w:val="clear" w:fill="FFFFFF"/>
        </w:rPr>
        <w:t>十一、加强绿色转型国际合作</w:t>
      </w:r>
    </w:p>
    <w:p w14:paraId="65EF06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三十）参与引领全球绿色转型进程。秉持人类命运共同体理念，积极参与应对气候变化、海洋污染治理、生物多样性保护、塑料污染治理等领域国际规则制定，推动构建公平合理、合作共赢的全球环境气候治理体系。推动落实全球发展倡议，加强南南合作以及同周边国家合作，在力所能及范围内为发展中国家提供支持。</w:t>
      </w:r>
    </w:p>
    <w:p w14:paraId="06908A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三十一）加强政策交流和务实合作。拓展多双边对话合作渠道，加强绿色发展领域的多边合作平台建设，大力宣传中国绿色转型成效，积极借鉴国际经验。加强绿色投资和贸易合作，推进“绿色丝绸之路”建设，深化与有关国家务实合作，提高境外项目环境可持续性，鼓励绿色低碳产品进出口。加强绿色技术合作，鼓励高校、科研机构与外方开展学术交流，积极参与国际大科学工程。加强绿色标准与合格评定国际合作，参与相关国际标准制定修订，推动与主要贸易伙伴在碳足迹等规则方面衔接互认。</w:t>
      </w:r>
    </w:p>
    <w:p w14:paraId="680292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黑体" w:hAnsi="宋体" w:eastAsia="黑体" w:cs="黑体"/>
          <w:i w:val="0"/>
          <w:iCs w:val="0"/>
          <w:caps w:val="0"/>
          <w:color w:val="00000A"/>
          <w:spacing w:val="0"/>
          <w:sz w:val="24"/>
          <w:szCs w:val="24"/>
          <w:bdr w:val="none" w:color="auto" w:sz="0" w:space="0"/>
          <w:shd w:val="clear" w:fill="FFFFFF"/>
        </w:rPr>
        <w:t>十二、组织实施</w:t>
      </w:r>
    </w:p>
    <w:p w14:paraId="014BD43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三十二）坚持和加强党的全面领导。在党中央集中统一领导下，加快推进经济社会发展全面绿色转型，把党的领导贯彻到工作的全过程和各方面。各地区各部门要明确本地区本部门绿色转型的重点任务，结合实际抓好本意见贯彻落实。各相关单位、人民团体、社会组织要积极推进本领域绿色转型工作。国家发展改革委要加强统筹协调，会同有关部门建立能耗双控向碳排放双控全面转型新机制，制定实施碳达峰碳中和综合评价考核制度，科学开展考核，加强评价考核结果应用。重要情况及时按程序向党中央、国务院请示报告。</w:t>
      </w:r>
    </w:p>
    <w:p w14:paraId="6CE560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color w:val="333333"/>
          <w:sz w:val="21"/>
          <w:szCs w:val="21"/>
        </w:rPr>
      </w:pPr>
      <w:r>
        <w:rPr>
          <w:rFonts w:hint="eastAsia" w:ascii="宋体" w:hAnsi="宋体" w:eastAsia="宋体" w:cs="宋体"/>
          <w:i w:val="0"/>
          <w:iCs w:val="0"/>
          <w:caps w:val="0"/>
          <w:color w:val="00000A"/>
          <w:spacing w:val="0"/>
          <w:sz w:val="24"/>
          <w:szCs w:val="24"/>
          <w:bdr w:val="none" w:color="auto" w:sz="0" w:space="0"/>
          <w:shd w:val="clear" w:fill="FFFFFF"/>
        </w:rPr>
        <w:t>（三十三）加强法治保障。各有关单位要加快推进生态环境法典和能源法、节约能源法、电力法、煤炭法、可再生能源法、循环经济促进法等法律法规制定修订工作，研究制定应对气候变化和碳达峰碳中和专项法律。落实民法典绿色原则，引导民事主体节约能源资源、保护生态环境。健全行政执法与刑事司法衔接机制。依法开展生态环境损害赔偿诉讼、生态环境和资源保护领域公益诉讼，完善生态环境损害赔偿和修复机制。</w:t>
      </w:r>
    </w:p>
    <w:p w14:paraId="55E2D12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482" w:lineRule="atLeast"/>
        <w:ind w:left="0" w:right="0" w:firstLine="482"/>
        <w:rPr>
          <w:rFonts w:hint="eastAsia" w:ascii="宋体" w:hAnsi="宋体" w:eastAsia="宋体" w:cs="宋体"/>
          <w:i w:val="0"/>
          <w:iCs w:val="0"/>
          <w:caps w:val="0"/>
          <w:color w:val="auto"/>
          <w:spacing w:val="0"/>
          <w:sz w:val="24"/>
          <w:szCs w:val="24"/>
          <w:shd w:val="clear" w:fill="FFFFFF"/>
          <w:lang w:eastAsia="zh-CN"/>
        </w:rPr>
      </w:pPr>
    </w:p>
    <w:sectPr>
      <w:footerReference r:id="rId3" w:type="default"/>
      <w:pgSz w:w="11906" w:h="16838"/>
      <w:pgMar w:top="1440" w:right="1417"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Lucida Fax">
    <w:panose1 w:val="02060602050505020204"/>
    <w:charset w:val="00"/>
    <w:family w:val="auto"/>
    <w:pitch w:val="default"/>
    <w:sig w:usb0="00000003" w:usb1="00000000" w:usb2="00000000" w:usb3="00000000" w:csb0="2000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9C6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CEC3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0CEC3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NmZiYTMyOWUxNmI2MTUwZjQzYWYyMDI1MWNjMGEifQ=="/>
  </w:docVars>
  <w:rsids>
    <w:rsidRoot w:val="7BE024F7"/>
    <w:rsid w:val="02130427"/>
    <w:rsid w:val="06532776"/>
    <w:rsid w:val="138E4DA7"/>
    <w:rsid w:val="1CCA0922"/>
    <w:rsid w:val="1F2B4FAB"/>
    <w:rsid w:val="248A2317"/>
    <w:rsid w:val="24D1137D"/>
    <w:rsid w:val="267D4339"/>
    <w:rsid w:val="280367EF"/>
    <w:rsid w:val="29323FCF"/>
    <w:rsid w:val="295403E9"/>
    <w:rsid w:val="298235B1"/>
    <w:rsid w:val="29E3710E"/>
    <w:rsid w:val="2A423FF9"/>
    <w:rsid w:val="2B411285"/>
    <w:rsid w:val="313B290F"/>
    <w:rsid w:val="32E20814"/>
    <w:rsid w:val="35AD335B"/>
    <w:rsid w:val="3745238C"/>
    <w:rsid w:val="3AB4098F"/>
    <w:rsid w:val="3F4B1EE8"/>
    <w:rsid w:val="40447FB2"/>
    <w:rsid w:val="42B04A1B"/>
    <w:rsid w:val="47D34827"/>
    <w:rsid w:val="4C561BFF"/>
    <w:rsid w:val="53AA2830"/>
    <w:rsid w:val="56D66091"/>
    <w:rsid w:val="59623823"/>
    <w:rsid w:val="5A0E2928"/>
    <w:rsid w:val="5B451E39"/>
    <w:rsid w:val="629E6A4E"/>
    <w:rsid w:val="632B573B"/>
    <w:rsid w:val="63F35B2D"/>
    <w:rsid w:val="68882CE8"/>
    <w:rsid w:val="6C5E0B34"/>
    <w:rsid w:val="6D0417E8"/>
    <w:rsid w:val="7223194D"/>
    <w:rsid w:val="72777AFB"/>
    <w:rsid w:val="78DC6C04"/>
    <w:rsid w:val="7ACF0C4A"/>
    <w:rsid w:val="7BE024F7"/>
    <w:rsid w:val="7DD24DC2"/>
    <w:rsid w:val="7E051B52"/>
    <w:rsid w:val="7EAB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pPr>
      <w:tabs>
        <w:tab w:val="right" w:leader="dot" w:pos="8306"/>
      </w:tabs>
      <w:ind w:firstLine="50" w:firstLineChars="50"/>
      <w:jc w:val="center"/>
    </w:pPr>
    <w:rPr>
      <w:rFonts w:ascii="黑体" w:eastAsia="黑体"/>
      <w:sz w:val="44"/>
      <w:szCs w:val="44"/>
      <w:lang w:val="zh-CN"/>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9653</Words>
  <Characters>9822</Characters>
  <Lines>0</Lines>
  <Paragraphs>0</Paragraphs>
  <TotalTime>12</TotalTime>
  <ScaleCrop>false</ScaleCrop>
  <LinksUpToDate>false</LinksUpToDate>
  <CharactersWithSpaces>9908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2023-12-19T01:47:00Z</dcterms:created>
  <dc:creator>人间失格</dc:creator>
  <cp:lastModifiedBy>admin</cp:lastModifiedBy>
  <dcterms:modified xsi:type="dcterms:W3CDTF">2025-02-21T06:49:47Z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CE1572D684F0443AA22F8910F29AD62F_11</vt:lpwstr>
  </property>
  <property fmtid="{D5CDD505-2E9C-101B-9397-08002B2CF9AE}" pid="4" name="KSOTemplateDocerSaveRecord">
    <vt:lpwstr>eyJoZGlkIjoiMTNlNmZiYTMyOWUxNmI2MTUwZjQzYWYyMDI1MWNjMGEifQ==</vt:lpwstr>
  </property>
</Properties>
</file>