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rPr>
      </w:pPr>
      <w:r>
        <w:rPr>
          <w:rFonts w:hint="eastAsia"/>
          <w:b/>
          <w:sz w:val="44"/>
          <w:lang w:eastAsia="zh-CN"/>
        </w:rPr>
        <w:t>经济</w:t>
      </w:r>
      <w:r>
        <w:rPr>
          <w:rFonts w:hint="eastAsia"/>
          <w:b/>
          <w:sz w:val="44"/>
        </w:rPr>
        <w:t>与</w:t>
      </w:r>
      <w:r>
        <w:rPr>
          <w:rFonts w:hint="eastAsia"/>
          <w:b/>
          <w:sz w:val="44"/>
          <w:lang w:eastAsia="zh-CN"/>
        </w:rPr>
        <w:t>管理</w:t>
      </w:r>
      <w:r>
        <w:rPr>
          <w:rFonts w:hint="eastAsia"/>
          <w:b/>
          <w:sz w:val="44"/>
        </w:rPr>
        <w:t>学院学生安全信息反馈工作</w:t>
      </w:r>
    </w:p>
    <w:p>
      <w:pPr>
        <w:jc w:val="center"/>
        <w:rPr>
          <w:rFonts w:hint="eastAsia"/>
          <w:b/>
          <w:sz w:val="44"/>
        </w:rPr>
      </w:pPr>
      <w:r>
        <w:rPr>
          <w:rFonts w:hint="eastAsia"/>
          <w:b/>
          <w:sz w:val="44"/>
        </w:rPr>
        <w:t>实施细则</w:t>
      </w:r>
    </w:p>
    <w:p>
      <w:pPr>
        <w:rPr>
          <w:rFonts w:hint="eastAsia" w:ascii="仿宋_GB2312" w:eastAsia="仿宋_GB2312"/>
          <w:sz w:val="32"/>
        </w:rPr>
      </w:pPr>
    </w:p>
    <w:p>
      <w:pPr>
        <w:jc w:val="center"/>
        <w:rPr>
          <w:rFonts w:hint="eastAsia" w:ascii="宋体" w:hAnsi="宋体" w:cs="Arial"/>
          <w:b/>
          <w:bCs/>
          <w:color w:val="000000"/>
          <w:kern w:val="0"/>
          <w:sz w:val="32"/>
          <w:szCs w:val="32"/>
        </w:rPr>
      </w:pPr>
      <w:r>
        <w:rPr>
          <w:rFonts w:hint="eastAsia" w:ascii="宋体" w:hAnsi="宋体" w:cs="Arial"/>
          <w:b/>
          <w:bCs/>
          <w:color w:val="000000"/>
          <w:kern w:val="0"/>
          <w:sz w:val="32"/>
          <w:szCs w:val="32"/>
        </w:rPr>
        <w:t>第一章  总则</w:t>
      </w:r>
    </w:p>
    <w:p>
      <w:pPr>
        <w:widowControl/>
        <w:spacing w:line="425" w:lineRule="atLeast"/>
        <w:ind w:firstLine="643" w:firstLineChars="200"/>
        <w:jc w:val="left"/>
        <w:rPr>
          <w:rFonts w:hint="eastAsia" w:ascii="Arial" w:hAnsi="Arial" w:eastAsia="仿宋_GB2312" w:cs="Arial"/>
          <w:color w:val="000000"/>
          <w:kern w:val="0"/>
          <w:sz w:val="32"/>
          <w:szCs w:val="32"/>
        </w:rPr>
      </w:pPr>
      <w:r>
        <w:rPr>
          <w:rFonts w:hint="eastAsia" w:ascii="仿宋_GB2312" w:hAnsi="Arial" w:eastAsia="仿宋_GB2312" w:cs="Arial"/>
          <w:b/>
          <w:color w:val="000000"/>
          <w:kern w:val="0"/>
          <w:sz w:val="32"/>
          <w:szCs w:val="32"/>
        </w:rPr>
        <w:t>第一条</w:t>
      </w:r>
      <w:r>
        <w:rPr>
          <w:rFonts w:hint="eastAsia" w:ascii="仿宋_GB2312" w:hAnsi="Arial" w:eastAsia="仿宋_GB2312" w:cs="Arial"/>
          <w:color w:val="000000"/>
          <w:kern w:val="0"/>
          <w:sz w:val="32"/>
          <w:szCs w:val="32"/>
        </w:rPr>
        <w:t xml:space="preserve"> 为进一步贯彻落实学校安全稳定工作指示精神，营造稳定、文明、和谐的校园环境，确保学院学生安全信息反馈工作渠道畅通，制定本细则。</w:t>
      </w:r>
    </w:p>
    <w:p>
      <w:pPr>
        <w:widowControl/>
        <w:spacing w:line="425" w:lineRule="atLeast"/>
        <w:jc w:val="center"/>
        <w:rPr>
          <w:rFonts w:hint="eastAsia" w:ascii="宋体" w:hAnsi="宋体" w:cs="Arial"/>
          <w:b/>
          <w:bCs/>
          <w:color w:val="000000"/>
          <w:kern w:val="0"/>
          <w:sz w:val="32"/>
          <w:szCs w:val="32"/>
        </w:rPr>
      </w:pPr>
      <w:r>
        <w:rPr>
          <w:rFonts w:hint="eastAsia" w:ascii="宋体" w:hAnsi="宋体" w:cs="Arial"/>
          <w:b/>
          <w:bCs/>
          <w:color w:val="000000"/>
          <w:kern w:val="0"/>
          <w:sz w:val="32"/>
          <w:szCs w:val="32"/>
        </w:rPr>
        <w:t>第二章 组织形式</w:t>
      </w:r>
    </w:p>
    <w:p>
      <w:pPr>
        <w:widowControl/>
        <w:spacing w:line="425" w:lineRule="atLeast"/>
        <w:ind w:firstLine="643"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b/>
          <w:color w:val="000000"/>
          <w:kern w:val="0"/>
          <w:sz w:val="32"/>
          <w:szCs w:val="32"/>
        </w:rPr>
        <w:t>第二条</w:t>
      </w:r>
      <w:r>
        <w:rPr>
          <w:rFonts w:hint="eastAsia" w:ascii="仿宋_GB2312" w:hAnsi="Arial" w:eastAsia="仿宋_GB2312" w:cs="Arial"/>
          <w:color w:val="000000"/>
          <w:kern w:val="0"/>
          <w:sz w:val="32"/>
          <w:szCs w:val="32"/>
        </w:rPr>
        <w:t xml:space="preserve"> 以班级为单位，建立寝室长-班干（原则上为班长）-辅导员-学院的信息反馈机制。寝室长为所在寝室信息员，班长为本班级信息员，辅导员为所带班级信息员。</w:t>
      </w:r>
    </w:p>
    <w:p>
      <w:pPr>
        <w:widowControl/>
        <w:spacing w:line="425" w:lineRule="atLeast"/>
        <w:ind w:firstLine="643"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b/>
          <w:color w:val="000000"/>
          <w:kern w:val="0"/>
          <w:sz w:val="32"/>
          <w:szCs w:val="32"/>
        </w:rPr>
        <w:t>第三条</w:t>
      </w:r>
      <w:r>
        <w:rPr>
          <w:rFonts w:hint="eastAsia" w:ascii="仿宋_GB2312" w:hAnsi="Arial" w:eastAsia="仿宋_GB2312" w:cs="Arial"/>
          <w:color w:val="000000"/>
          <w:kern w:val="0"/>
          <w:sz w:val="32"/>
          <w:szCs w:val="32"/>
        </w:rPr>
        <w:t xml:space="preserve"> 小班制、小组上课的，辅导员要安排其他学生干部或学生作为信息员。</w:t>
      </w:r>
    </w:p>
    <w:p>
      <w:pPr>
        <w:widowControl/>
        <w:spacing w:line="425" w:lineRule="atLeast"/>
        <w:ind w:firstLine="643"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b/>
          <w:color w:val="000000"/>
          <w:kern w:val="0"/>
          <w:sz w:val="32"/>
          <w:szCs w:val="32"/>
        </w:rPr>
        <w:t>第四条</w:t>
      </w:r>
      <w:r>
        <w:rPr>
          <w:rFonts w:hint="eastAsia" w:ascii="仿宋_GB2312" w:hAnsi="Arial" w:eastAsia="仿宋_GB2312" w:cs="Arial"/>
          <w:color w:val="000000"/>
          <w:kern w:val="0"/>
          <w:sz w:val="32"/>
          <w:szCs w:val="32"/>
        </w:rPr>
        <w:t xml:space="preserve"> 特殊事务，班级所有信息员第一时间向辅导员、学院反馈。</w:t>
      </w:r>
    </w:p>
    <w:p>
      <w:pPr>
        <w:widowControl/>
        <w:spacing w:line="425" w:lineRule="atLeast"/>
        <w:jc w:val="center"/>
        <w:rPr>
          <w:rFonts w:hint="eastAsia" w:ascii="宋体" w:hAnsi="宋体" w:cs="Arial"/>
          <w:b/>
          <w:bCs/>
          <w:color w:val="000000"/>
          <w:kern w:val="0"/>
          <w:sz w:val="32"/>
          <w:szCs w:val="32"/>
        </w:rPr>
      </w:pPr>
      <w:r>
        <w:rPr>
          <w:rFonts w:hint="eastAsia" w:ascii="宋体" w:hAnsi="宋体" w:cs="Arial"/>
          <w:b/>
          <w:bCs/>
          <w:color w:val="000000"/>
          <w:kern w:val="0"/>
          <w:sz w:val="32"/>
          <w:szCs w:val="32"/>
        </w:rPr>
        <w:t>第三章 工作内容</w:t>
      </w:r>
    </w:p>
    <w:p>
      <w:pPr>
        <w:widowControl/>
        <w:spacing w:line="425" w:lineRule="atLeast"/>
        <w:ind w:firstLine="643"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b/>
          <w:bCs/>
          <w:color w:val="000000"/>
          <w:kern w:val="0"/>
          <w:sz w:val="32"/>
          <w:szCs w:val="32"/>
        </w:rPr>
        <w:t xml:space="preserve">第五条 </w:t>
      </w:r>
      <w:r>
        <w:rPr>
          <w:rFonts w:hint="eastAsia" w:ascii="仿宋_GB2312" w:hAnsi="Arial" w:eastAsia="仿宋_GB2312" w:cs="Arial"/>
          <w:bCs/>
          <w:color w:val="000000"/>
          <w:kern w:val="0"/>
          <w:sz w:val="32"/>
          <w:szCs w:val="32"/>
        </w:rPr>
        <w:t>常规工作。</w:t>
      </w:r>
      <w:r>
        <w:rPr>
          <w:rFonts w:hint="eastAsia" w:ascii="仿宋_GB2312" w:hAnsi="Arial" w:eastAsia="仿宋_GB2312" w:cs="Arial"/>
          <w:color w:val="000000"/>
          <w:kern w:val="0"/>
          <w:sz w:val="32"/>
          <w:szCs w:val="32"/>
        </w:rPr>
        <w:t>根据《</w:t>
      </w:r>
      <w:bookmarkStart w:id="0" w:name="文件标题"/>
      <w:r>
        <w:rPr>
          <w:rFonts w:hint="eastAsia" w:ascii="仿宋_GB2312" w:hAnsi="Arial" w:eastAsia="仿宋_GB2312" w:cs="Arial"/>
          <w:color w:val="000000"/>
          <w:kern w:val="0"/>
          <w:sz w:val="32"/>
          <w:szCs w:val="32"/>
        </w:rPr>
        <w:t>安徽建筑大学辅导员巡课、巡访宿舍管理规定</w:t>
      </w:r>
      <w:bookmarkEnd w:id="0"/>
      <w:r>
        <w:rPr>
          <w:rFonts w:hint="eastAsia" w:ascii="仿宋_GB2312" w:hAnsi="Arial" w:eastAsia="仿宋_GB2312" w:cs="Arial"/>
          <w:color w:val="000000"/>
          <w:kern w:val="0"/>
          <w:sz w:val="32"/>
          <w:szCs w:val="32"/>
        </w:rPr>
        <w:t>》（</w:t>
      </w:r>
      <w:bookmarkStart w:id="1" w:name="文件编号"/>
      <w:r>
        <w:rPr>
          <w:rFonts w:hint="eastAsia" w:ascii="仿宋_GB2312" w:hAnsi="Arial" w:eastAsia="仿宋_GB2312" w:cs="Arial"/>
          <w:color w:val="000000"/>
          <w:kern w:val="0"/>
          <w:sz w:val="32"/>
          <w:szCs w:val="32"/>
        </w:rPr>
        <w:t>校党学函〔2017〕1</w:t>
      </w:r>
      <w:bookmarkEnd w:id="1"/>
      <w:r>
        <w:rPr>
          <w:rFonts w:hint="eastAsia" w:ascii="仿宋_GB2312" w:hAnsi="Arial" w:eastAsia="仿宋_GB2312" w:cs="Arial"/>
          <w:color w:val="000000"/>
          <w:kern w:val="0"/>
          <w:sz w:val="32"/>
          <w:szCs w:val="32"/>
        </w:rPr>
        <w:t>号）要求，落实好辅导员巡课、巡访宿舍工作。</w:t>
      </w:r>
      <w:r>
        <w:rPr>
          <w:rFonts w:hint="eastAsia" w:ascii="仿宋_GB2312" w:hAnsi="仿宋_GB2312" w:eastAsia="仿宋_GB2312" w:cs="仿宋_GB2312"/>
          <w:kern w:val="0"/>
          <w:sz w:val="32"/>
          <w:szCs w:val="32"/>
        </w:rPr>
        <w:t>辅导员</w:t>
      </w:r>
      <w:r>
        <w:rPr>
          <w:rFonts w:hint="eastAsia" w:ascii="仿宋_GB2312" w:hAnsi="Arial" w:eastAsia="仿宋_GB2312" w:cs="Arial"/>
          <w:color w:val="000000"/>
          <w:kern w:val="0"/>
          <w:sz w:val="32"/>
          <w:szCs w:val="32"/>
        </w:rPr>
        <w:t>做到</w:t>
      </w:r>
      <w:r>
        <w:rPr>
          <w:rFonts w:hint="eastAsia" w:ascii="仿宋_GB2312" w:hAnsi="仿宋_GB2312" w:eastAsia="仿宋_GB2312" w:cs="仿宋_GB2312"/>
          <w:kern w:val="0"/>
          <w:sz w:val="32"/>
          <w:szCs w:val="32"/>
        </w:rPr>
        <w:t>每日开展巡课不少于1次，每周对所带班级所有课程实现全覆盖；每周</w:t>
      </w:r>
      <w:r>
        <w:rPr>
          <w:rFonts w:hint="eastAsia" w:ascii="仿宋_GB2312" w:hAnsi="仿宋_GB2312" w:eastAsia="仿宋_GB2312" w:cs="仿宋_GB2312"/>
          <w:sz w:val="32"/>
          <w:szCs w:val="32"/>
        </w:rPr>
        <w:t>巡访学生宿舍2次以上（夜晚至少1次），</w:t>
      </w:r>
      <w:r>
        <w:rPr>
          <w:rFonts w:hint="eastAsia" w:ascii="仿宋_GB2312" w:hAnsi="仿宋_GB2312" w:eastAsia="仿宋_GB2312" w:cs="仿宋_GB2312"/>
          <w:kern w:val="0"/>
          <w:sz w:val="32"/>
          <w:szCs w:val="32"/>
        </w:rPr>
        <w:t>每月应巡访所带学生全部宿舍至少1次。并</w:t>
      </w:r>
      <w:r>
        <w:rPr>
          <w:rFonts w:hint="eastAsia" w:ascii="仿宋_GB2312" w:hAnsi="Arial" w:eastAsia="仿宋_GB2312" w:cs="Arial"/>
          <w:color w:val="000000"/>
          <w:kern w:val="0"/>
          <w:sz w:val="32"/>
          <w:szCs w:val="32"/>
        </w:rPr>
        <w:t>根据学校要求，在指定时间前做好周工作材料信息报送。</w:t>
      </w:r>
    </w:p>
    <w:p>
      <w:pPr>
        <w:widowControl/>
        <w:spacing w:line="425" w:lineRule="atLeast"/>
        <w:ind w:firstLine="643"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b/>
          <w:bCs/>
          <w:color w:val="000000"/>
          <w:kern w:val="0"/>
          <w:sz w:val="32"/>
          <w:szCs w:val="32"/>
        </w:rPr>
        <w:t xml:space="preserve">第六条 </w:t>
      </w:r>
      <w:r>
        <w:rPr>
          <w:rFonts w:hint="eastAsia" w:ascii="仿宋_GB2312" w:hAnsi="Arial" w:eastAsia="仿宋_GB2312" w:cs="Arial"/>
          <w:bCs/>
          <w:color w:val="000000"/>
          <w:kern w:val="0"/>
          <w:sz w:val="32"/>
          <w:szCs w:val="32"/>
        </w:rPr>
        <w:t>特殊情况。</w:t>
      </w:r>
      <w:r>
        <w:rPr>
          <w:rFonts w:hint="eastAsia" w:ascii="仿宋_GB2312" w:hAnsi="Arial" w:eastAsia="仿宋_GB2312" w:cs="Arial"/>
          <w:color w:val="000000"/>
          <w:kern w:val="0"/>
          <w:sz w:val="32"/>
          <w:szCs w:val="32"/>
        </w:rPr>
        <w:t>对出现下列情况，班级信息员要在第一时间报告辅导员和学院：</w:t>
      </w:r>
    </w:p>
    <w:p>
      <w:pPr>
        <w:widowControl/>
        <w:spacing w:line="425" w:lineRule="atLeast"/>
        <w:ind w:firstLine="640" w:firstLineChars="200"/>
        <w:jc w:val="left"/>
        <w:rPr>
          <w:rFonts w:hint="eastAsia" w:ascii="仿宋_GB2312" w:hAnsi="Arial" w:eastAsia="仿宋_GB2312" w:cs="Arial"/>
          <w:bCs/>
          <w:color w:val="000000"/>
          <w:kern w:val="0"/>
          <w:sz w:val="32"/>
          <w:szCs w:val="32"/>
        </w:rPr>
      </w:pPr>
      <w:r>
        <w:rPr>
          <w:rFonts w:hint="eastAsia" w:ascii="仿宋_GB2312" w:hAnsi="Arial" w:eastAsia="仿宋_GB2312" w:cs="Arial"/>
          <w:color w:val="000000"/>
          <w:kern w:val="0"/>
          <w:sz w:val="32"/>
          <w:szCs w:val="32"/>
        </w:rPr>
        <w:t>1.</w:t>
      </w:r>
      <w:r>
        <w:rPr>
          <w:rFonts w:hint="eastAsia" w:ascii="仿宋_GB2312" w:hAnsi="Arial" w:eastAsia="仿宋_GB2312" w:cs="Arial"/>
          <w:bCs/>
          <w:color w:val="000000"/>
          <w:kern w:val="0"/>
          <w:sz w:val="32"/>
          <w:szCs w:val="32"/>
        </w:rPr>
        <w:t>有无故缺课，不知去向的；</w:t>
      </w:r>
    </w:p>
    <w:p>
      <w:pPr>
        <w:widowControl/>
        <w:spacing w:line="425" w:lineRule="atLeast"/>
        <w:ind w:firstLine="640" w:firstLineChars="200"/>
        <w:jc w:val="left"/>
        <w:rPr>
          <w:rFonts w:hint="eastAsia" w:ascii="仿宋_GB2312" w:hAnsi="Arial" w:eastAsia="仿宋_GB2312" w:cs="Arial"/>
          <w:bCs/>
          <w:color w:val="000000"/>
          <w:kern w:val="0"/>
          <w:sz w:val="32"/>
          <w:szCs w:val="32"/>
        </w:rPr>
      </w:pPr>
      <w:r>
        <w:rPr>
          <w:rFonts w:hint="eastAsia" w:ascii="仿宋_GB2312" w:hAnsi="Arial" w:eastAsia="仿宋_GB2312" w:cs="Arial"/>
          <w:bCs/>
          <w:color w:val="000000"/>
          <w:kern w:val="0"/>
          <w:sz w:val="32"/>
          <w:szCs w:val="32"/>
        </w:rPr>
        <w:t>2.有</w:t>
      </w:r>
      <w:r>
        <w:rPr>
          <w:rFonts w:hint="eastAsia" w:ascii="仿宋_GB2312" w:hAnsi="Arial" w:eastAsia="仿宋_GB2312" w:cs="Arial"/>
          <w:color w:val="000000"/>
          <w:kern w:val="0"/>
          <w:sz w:val="32"/>
          <w:szCs w:val="32"/>
        </w:rPr>
        <w:t>晚上宿舍楼关门，学生还未回宿舍，联系不上的；</w:t>
      </w:r>
    </w:p>
    <w:p>
      <w:pPr>
        <w:widowControl/>
        <w:spacing w:line="425" w:lineRule="atLeas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3.</w:t>
      </w:r>
      <w:r>
        <w:rPr>
          <w:rFonts w:hint="eastAsia" w:ascii="仿宋_GB2312" w:hAnsi="Arial" w:eastAsia="仿宋_GB2312" w:cs="Arial"/>
          <w:bCs/>
          <w:color w:val="000000"/>
          <w:kern w:val="0"/>
          <w:sz w:val="32"/>
          <w:szCs w:val="32"/>
        </w:rPr>
        <w:t>有</w:t>
      </w:r>
      <w:r>
        <w:rPr>
          <w:rFonts w:hint="eastAsia" w:ascii="仿宋_GB2312" w:hAnsi="Arial" w:eastAsia="仿宋_GB2312" w:cs="Arial"/>
          <w:color w:val="000000"/>
          <w:kern w:val="0"/>
          <w:sz w:val="32"/>
          <w:szCs w:val="32"/>
        </w:rPr>
        <w:t>酗酒、打架、斗殴、赌博等现象的；</w:t>
      </w:r>
    </w:p>
    <w:p>
      <w:pPr>
        <w:widowControl/>
        <w:spacing w:line="425" w:lineRule="atLeas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4.</w:t>
      </w:r>
      <w:r>
        <w:rPr>
          <w:rFonts w:hint="eastAsia" w:ascii="仿宋_GB2312" w:hAnsi="Arial" w:eastAsia="仿宋_GB2312" w:cs="Arial"/>
          <w:bCs/>
          <w:color w:val="000000"/>
          <w:kern w:val="0"/>
          <w:sz w:val="32"/>
          <w:szCs w:val="32"/>
        </w:rPr>
        <w:t>有</w:t>
      </w:r>
      <w:r>
        <w:rPr>
          <w:rFonts w:hint="eastAsia" w:ascii="仿宋_GB2312" w:hAnsi="Arial" w:eastAsia="仿宋_GB2312" w:cs="Arial"/>
          <w:color w:val="000000"/>
          <w:kern w:val="0"/>
          <w:sz w:val="32"/>
          <w:szCs w:val="32"/>
        </w:rPr>
        <w:t>严重违纪或违法现象的；</w:t>
      </w:r>
    </w:p>
    <w:p>
      <w:pPr>
        <w:widowControl/>
        <w:spacing w:line="425" w:lineRule="atLeas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5.</w:t>
      </w:r>
      <w:r>
        <w:rPr>
          <w:rFonts w:hint="eastAsia" w:ascii="仿宋_GB2312" w:hAnsi="Arial" w:eastAsia="仿宋_GB2312" w:cs="Arial"/>
          <w:bCs/>
          <w:color w:val="000000"/>
          <w:kern w:val="0"/>
          <w:sz w:val="32"/>
          <w:szCs w:val="32"/>
        </w:rPr>
        <w:t>有</w:t>
      </w:r>
      <w:r>
        <w:rPr>
          <w:rFonts w:hint="eastAsia" w:ascii="仿宋_GB2312" w:hAnsi="Arial" w:eastAsia="仿宋_GB2312" w:cs="Arial"/>
          <w:color w:val="000000"/>
          <w:kern w:val="0"/>
          <w:sz w:val="32"/>
          <w:szCs w:val="32"/>
        </w:rPr>
        <w:t>宿舍中失窃、火灾以及各种灾情隐患的；</w:t>
      </w:r>
    </w:p>
    <w:p>
      <w:pPr>
        <w:widowControl/>
        <w:spacing w:line="425" w:lineRule="atLeas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6.</w:t>
      </w:r>
      <w:r>
        <w:rPr>
          <w:rFonts w:hint="eastAsia" w:ascii="仿宋_GB2312" w:hAnsi="Arial" w:eastAsia="仿宋_GB2312" w:cs="Arial"/>
          <w:bCs/>
          <w:color w:val="000000"/>
          <w:kern w:val="0"/>
          <w:sz w:val="32"/>
          <w:szCs w:val="32"/>
        </w:rPr>
        <w:t>有</w:t>
      </w:r>
      <w:r>
        <w:rPr>
          <w:rFonts w:hint="eastAsia" w:ascii="仿宋_GB2312" w:hAnsi="Arial" w:eastAsia="仿宋_GB2312" w:cs="Arial"/>
          <w:color w:val="000000"/>
          <w:kern w:val="0"/>
          <w:sz w:val="32"/>
          <w:szCs w:val="32"/>
        </w:rPr>
        <w:t>管制刀具、毒品、易燃易爆等危险物品的；</w:t>
      </w:r>
    </w:p>
    <w:p>
      <w:pPr>
        <w:widowControl/>
        <w:spacing w:line="425" w:lineRule="atLeas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7.</w:t>
      </w:r>
      <w:r>
        <w:rPr>
          <w:rFonts w:hint="eastAsia" w:ascii="仿宋_GB2312" w:hAnsi="Arial" w:eastAsia="仿宋_GB2312" w:cs="Arial"/>
          <w:bCs/>
          <w:color w:val="000000"/>
          <w:kern w:val="0"/>
          <w:sz w:val="32"/>
          <w:szCs w:val="32"/>
        </w:rPr>
        <w:t>有</w:t>
      </w:r>
      <w:r>
        <w:rPr>
          <w:rFonts w:hint="eastAsia" w:ascii="仿宋_GB2312" w:hAnsi="Arial" w:eastAsia="仿宋_GB2312" w:cs="Arial"/>
          <w:color w:val="000000"/>
          <w:kern w:val="0"/>
          <w:sz w:val="32"/>
          <w:szCs w:val="32"/>
        </w:rPr>
        <w:t>患精神分裂症或有精神障碍和严重心理障碍的；</w:t>
      </w:r>
    </w:p>
    <w:p>
      <w:pPr>
        <w:widowControl/>
        <w:spacing w:line="425" w:lineRule="atLeas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8.</w:t>
      </w:r>
      <w:r>
        <w:rPr>
          <w:rFonts w:hint="eastAsia" w:ascii="仿宋_GB2312" w:hAnsi="Arial" w:eastAsia="仿宋_GB2312" w:cs="Arial"/>
          <w:bCs/>
          <w:color w:val="000000"/>
          <w:kern w:val="0"/>
          <w:sz w:val="32"/>
          <w:szCs w:val="32"/>
        </w:rPr>
        <w:t>有</w:t>
      </w:r>
      <w:r>
        <w:rPr>
          <w:rFonts w:hint="eastAsia" w:ascii="仿宋_GB2312" w:hAnsi="Arial" w:eastAsia="仿宋_GB2312" w:cs="Arial"/>
          <w:color w:val="000000"/>
          <w:kern w:val="0"/>
          <w:sz w:val="32"/>
          <w:szCs w:val="32"/>
        </w:rPr>
        <w:t>患有严重传染性疾病或具有类似症状的；</w:t>
      </w:r>
    </w:p>
    <w:p>
      <w:pPr>
        <w:widowControl/>
        <w:spacing w:line="425" w:lineRule="atLeas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9.有对教学、管理、后勤、就业等有关学生教育管理服务工作不满而引发的过激行为以及影响校园稳定的；</w:t>
      </w:r>
    </w:p>
    <w:p>
      <w:pPr>
        <w:widowControl/>
        <w:spacing w:line="425" w:lineRule="atLeas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10.</w:t>
      </w:r>
      <w:r>
        <w:rPr>
          <w:rFonts w:hint="eastAsia" w:ascii="仿宋_GB2312" w:hAnsi="Arial" w:eastAsia="仿宋_GB2312" w:cs="Arial"/>
          <w:bCs/>
          <w:color w:val="000000"/>
          <w:kern w:val="0"/>
          <w:sz w:val="32"/>
          <w:szCs w:val="32"/>
        </w:rPr>
        <w:t>有</w:t>
      </w:r>
      <w:r>
        <w:rPr>
          <w:rFonts w:hint="eastAsia" w:ascii="仿宋_GB2312" w:hAnsi="Arial" w:eastAsia="仿宋_GB2312" w:cs="Arial"/>
          <w:color w:val="000000"/>
          <w:kern w:val="0"/>
          <w:sz w:val="32"/>
          <w:szCs w:val="32"/>
        </w:rPr>
        <w:t>违反意识形态规定的；</w:t>
      </w:r>
    </w:p>
    <w:p>
      <w:pPr>
        <w:widowControl/>
        <w:spacing w:line="425" w:lineRule="atLeas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11.有重大事件及特殊敏感时期学生思想动态出现异常的。</w:t>
      </w:r>
    </w:p>
    <w:p>
      <w:pPr>
        <w:widowControl/>
        <w:spacing w:line="425" w:lineRule="atLeast"/>
        <w:ind w:firstLine="640"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12.有其他突发事件的。</w:t>
      </w:r>
    </w:p>
    <w:p>
      <w:pPr>
        <w:widowControl/>
        <w:spacing w:line="425" w:lineRule="atLeast"/>
        <w:jc w:val="center"/>
        <w:rPr>
          <w:rFonts w:hint="eastAsia" w:ascii="宋体" w:hAnsi="宋体" w:cs="Arial"/>
          <w:b/>
          <w:bCs/>
          <w:color w:val="000000"/>
          <w:kern w:val="0"/>
          <w:sz w:val="32"/>
          <w:szCs w:val="32"/>
        </w:rPr>
      </w:pPr>
      <w:r>
        <w:rPr>
          <w:rFonts w:hint="eastAsia" w:ascii="宋体" w:hAnsi="宋体" w:cs="Arial"/>
          <w:b/>
          <w:bCs/>
          <w:color w:val="000000"/>
          <w:kern w:val="0"/>
          <w:sz w:val="32"/>
          <w:szCs w:val="32"/>
        </w:rPr>
        <w:t>第四章 工作要求</w:t>
      </w:r>
    </w:p>
    <w:p>
      <w:pPr>
        <w:widowControl/>
        <w:spacing w:line="425" w:lineRule="atLeast"/>
        <w:ind w:firstLine="643" w:firstLineChars="200"/>
        <w:jc w:val="left"/>
        <w:rPr>
          <w:rFonts w:hint="eastAsia" w:ascii="仿宋_GB2312" w:hAnsi="Arial" w:eastAsia="仿宋_GB2312" w:cs="Arial"/>
          <w:b/>
          <w:bCs/>
          <w:color w:val="000000"/>
          <w:kern w:val="0"/>
          <w:sz w:val="32"/>
          <w:szCs w:val="32"/>
        </w:rPr>
      </w:pPr>
      <w:r>
        <w:rPr>
          <w:rFonts w:hint="eastAsia" w:ascii="仿宋_GB2312" w:hAnsi="Arial" w:eastAsia="仿宋_GB2312" w:cs="Arial"/>
          <w:b/>
          <w:color w:val="000000"/>
          <w:kern w:val="0"/>
          <w:sz w:val="32"/>
          <w:szCs w:val="32"/>
        </w:rPr>
        <w:t>第七条</w:t>
      </w:r>
      <w:r>
        <w:rPr>
          <w:rFonts w:hint="eastAsia" w:ascii="仿宋_GB2312" w:hAnsi="Arial" w:eastAsia="仿宋_GB2312" w:cs="Arial"/>
          <w:color w:val="000000"/>
          <w:kern w:val="0"/>
          <w:sz w:val="32"/>
          <w:szCs w:val="32"/>
        </w:rPr>
        <w:t xml:space="preserve"> 各班级要强化信息反馈意识，指定专人负责信息上报，做到遇事必报，大事即报，反应迅速，措施合理，处置得当。</w:t>
      </w:r>
    </w:p>
    <w:p>
      <w:pPr>
        <w:widowControl/>
        <w:spacing w:line="425" w:lineRule="atLeast"/>
        <w:ind w:firstLine="643"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b/>
          <w:color w:val="000000"/>
          <w:kern w:val="0"/>
          <w:sz w:val="32"/>
          <w:szCs w:val="32"/>
        </w:rPr>
        <w:t xml:space="preserve">第八条 </w:t>
      </w:r>
      <w:r>
        <w:rPr>
          <w:rFonts w:hint="eastAsia" w:ascii="仿宋_GB2312" w:hAnsi="Arial" w:eastAsia="仿宋_GB2312" w:cs="Arial"/>
          <w:bCs/>
          <w:color w:val="000000"/>
          <w:kern w:val="0"/>
          <w:sz w:val="32"/>
          <w:szCs w:val="32"/>
        </w:rPr>
        <w:t>寝室长为所在寝室责任人，班长为所在班级责任人，辅导员为所带班级责任人。</w:t>
      </w:r>
      <w:r>
        <w:rPr>
          <w:rFonts w:hint="eastAsia" w:ascii="仿宋_GB2312" w:hAnsi="Arial" w:eastAsia="仿宋_GB2312" w:cs="Arial"/>
          <w:color w:val="000000"/>
          <w:kern w:val="0"/>
          <w:sz w:val="32"/>
          <w:szCs w:val="32"/>
        </w:rPr>
        <w:t>对于紧急、重要信息，必须做到发生或发现后及时上报，并及时续报事态进展。</w:t>
      </w:r>
    </w:p>
    <w:p>
      <w:pPr>
        <w:widowControl/>
        <w:spacing w:line="425" w:lineRule="atLeast"/>
        <w:ind w:firstLine="643"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b/>
          <w:color w:val="000000"/>
          <w:kern w:val="0"/>
          <w:sz w:val="32"/>
          <w:szCs w:val="32"/>
        </w:rPr>
        <w:t xml:space="preserve">第九条 </w:t>
      </w:r>
      <w:r>
        <w:rPr>
          <w:rFonts w:hint="eastAsia" w:ascii="仿宋_GB2312" w:hAnsi="Arial" w:eastAsia="仿宋_GB2312" w:cs="Arial"/>
          <w:color w:val="000000"/>
          <w:kern w:val="0"/>
          <w:sz w:val="32"/>
          <w:szCs w:val="32"/>
        </w:rPr>
        <w:t>各辅导员要保持手机信号畅通，做到能在第一时间接听电话。</w:t>
      </w:r>
    </w:p>
    <w:p>
      <w:pPr>
        <w:widowControl/>
        <w:spacing w:line="425" w:lineRule="atLeast"/>
        <w:ind w:firstLine="643"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b/>
          <w:color w:val="000000"/>
          <w:kern w:val="0"/>
          <w:sz w:val="32"/>
          <w:szCs w:val="32"/>
        </w:rPr>
        <w:t xml:space="preserve">第十条 </w:t>
      </w:r>
      <w:r>
        <w:rPr>
          <w:rFonts w:hint="eastAsia" w:ascii="仿宋_GB2312" w:hAnsi="Arial" w:eastAsia="仿宋_GB2312" w:cs="Arial"/>
          <w:color w:val="000000"/>
          <w:kern w:val="0"/>
          <w:sz w:val="32"/>
          <w:szCs w:val="32"/>
        </w:rPr>
        <w:t>各辅导员要将自己的手机号码和学院分管学生工作负责人的手机号码在班级公布，做到人人知晓。</w:t>
      </w:r>
    </w:p>
    <w:p>
      <w:pPr>
        <w:widowControl/>
        <w:spacing w:line="425" w:lineRule="atLeast"/>
        <w:ind w:firstLine="643" w:firstLineChars="200"/>
        <w:jc w:val="left"/>
        <w:rPr>
          <w:rFonts w:hint="eastAsia" w:ascii="仿宋_GB2312" w:hAnsi="Arial" w:eastAsia="仿宋_GB2312" w:cs="Arial"/>
          <w:color w:val="000000"/>
          <w:kern w:val="0"/>
          <w:sz w:val="32"/>
          <w:szCs w:val="32"/>
        </w:rPr>
      </w:pPr>
      <w:r>
        <w:rPr>
          <w:rFonts w:hint="eastAsia" w:ascii="仿宋_GB2312" w:hAnsi="Arial" w:eastAsia="仿宋_GB2312" w:cs="Arial"/>
          <w:b/>
          <w:color w:val="000000"/>
          <w:kern w:val="0"/>
          <w:sz w:val="32"/>
          <w:szCs w:val="32"/>
        </w:rPr>
        <w:t xml:space="preserve">第十一条 </w:t>
      </w:r>
      <w:r>
        <w:rPr>
          <w:rFonts w:hint="eastAsia" w:ascii="仿宋_GB2312" w:hAnsi="Arial" w:eastAsia="仿宋_GB2312" w:cs="Arial"/>
          <w:color w:val="000000"/>
          <w:kern w:val="0"/>
          <w:sz w:val="32"/>
          <w:szCs w:val="32"/>
        </w:rPr>
        <w:t>本实施细则自2018年</w:t>
      </w:r>
      <w:r>
        <w:rPr>
          <w:rFonts w:hint="eastAsia" w:ascii="仿宋_GB2312" w:hAnsi="Arial" w:eastAsia="仿宋_GB2312" w:cs="Arial"/>
          <w:color w:val="000000"/>
          <w:kern w:val="0"/>
          <w:sz w:val="32"/>
          <w:szCs w:val="32"/>
          <w:lang w:val="en-US" w:eastAsia="zh-CN"/>
        </w:rPr>
        <w:t>11</w:t>
      </w:r>
      <w:r>
        <w:rPr>
          <w:rFonts w:hint="eastAsia" w:ascii="仿宋_GB2312" w:hAnsi="Arial" w:eastAsia="仿宋_GB2312" w:cs="Arial"/>
          <w:color w:val="000000"/>
          <w:kern w:val="0"/>
          <w:sz w:val="32"/>
          <w:szCs w:val="32"/>
        </w:rPr>
        <w:t>月</w:t>
      </w:r>
      <w:r>
        <w:rPr>
          <w:rFonts w:hint="eastAsia" w:ascii="仿宋_GB2312" w:hAnsi="Arial" w:eastAsia="仿宋_GB2312" w:cs="Arial"/>
          <w:color w:val="000000"/>
          <w:kern w:val="0"/>
          <w:sz w:val="32"/>
          <w:szCs w:val="32"/>
          <w:lang w:val="en-US" w:eastAsia="zh-CN"/>
        </w:rPr>
        <w:t>10</w:t>
      </w:r>
      <w:r>
        <w:rPr>
          <w:rFonts w:hint="eastAsia" w:ascii="仿宋_GB2312" w:hAnsi="Arial" w:eastAsia="仿宋_GB2312" w:cs="Arial"/>
          <w:color w:val="000000"/>
          <w:kern w:val="0"/>
          <w:sz w:val="32"/>
          <w:szCs w:val="32"/>
        </w:rPr>
        <w:t>日起施行。由安徽建筑大学</w:t>
      </w:r>
      <w:r>
        <w:rPr>
          <w:rFonts w:hint="eastAsia" w:ascii="仿宋_GB2312" w:hAnsi="Arial" w:eastAsia="仿宋_GB2312" w:cs="Arial"/>
          <w:color w:val="000000"/>
          <w:kern w:val="0"/>
          <w:sz w:val="32"/>
          <w:szCs w:val="32"/>
          <w:lang w:eastAsia="zh-CN"/>
        </w:rPr>
        <w:t>经济</w:t>
      </w:r>
      <w:r>
        <w:rPr>
          <w:rFonts w:hint="eastAsia" w:ascii="仿宋_GB2312" w:hAnsi="Arial" w:eastAsia="仿宋_GB2312" w:cs="Arial"/>
          <w:color w:val="000000"/>
          <w:kern w:val="0"/>
          <w:sz w:val="32"/>
          <w:szCs w:val="32"/>
        </w:rPr>
        <w:t>与</w:t>
      </w:r>
      <w:r>
        <w:rPr>
          <w:rFonts w:hint="eastAsia" w:ascii="仿宋_GB2312" w:hAnsi="Arial" w:eastAsia="仿宋_GB2312" w:cs="Arial"/>
          <w:color w:val="000000"/>
          <w:kern w:val="0"/>
          <w:sz w:val="32"/>
          <w:szCs w:val="32"/>
          <w:lang w:eastAsia="zh-CN"/>
        </w:rPr>
        <w:t>管理</w:t>
      </w:r>
      <w:r>
        <w:rPr>
          <w:rFonts w:hint="eastAsia" w:ascii="仿宋_GB2312" w:hAnsi="Arial" w:eastAsia="仿宋_GB2312" w:cs="Arial"/>
          <w:color w:val="000000"/>
          <w:kern w:val="0"/>
          <w:sz w:val="32"/>
          <w:szCs w:val="32"/>
        </w:rPr>
        <w:t>学院负责解释。</w:t>
      </w:r>
    </w:p>
    <w:p>
      <w:pPr>
        <w:widowControl/>
        <w:spacing w:line="425" w:lineRule="atLeast"/>
        <w:ind w:firstLine="640" w:firstLineChars="200"/>
        <w:jc w:val="left"/>
        <w:rPr>
          <w:rFonts w:hint="eastAsia" w:ascii="仿宋_GB2312" w:hAnsi="Arial" w:eastAsia="仿宋_GB2312" w:cs="Arial"/>
          <w:color w:val="000000"/>
          <w:kern w:val="0"/>
          <w:sz w:val="32"/>
          <w:szCs w:val="32"/>
        </w:rPr>
      </w:pPr>
    </w:p>
    <w:p>
      <w:pPr>
        <w:widowControl/>
        <w:spacing w:line="425" w:lineRule="atLeast"/>
        <w:ind w:firstLine="640" w:firstLineChars="200"/>
        <w:jc w:val="left"/>
        <w:rPr>
          <w:rFonts w:hint="eastAsia" w:ascii="仿宋_GB2312" w:hAnsi="Arial" w:eastAsia="仿宋_GB2312" w:cs="Arial"/>
          <w:color w:val="000000"/>
          <w:kern w:val="0"/>
          <w:sz w:val="32"/>
          <w:szCs w:val="32"/>
        </w:rPr>
      </w:pPr>
    </w:p>
    <w:p>
      <w:pPr>
        <w:widowControl/>
        <w:spacing w:line="425" w:lineRule="atLeast"/>
        <w:ind w:firstLine="640" w:firstLineChars="200"/>
        <w:jc w:val="center"/>
        <w:rPr>
          <w:rFonts w:hint="eastAsia" w:ascii="仿宋_GB2312" w:hAnsi="Arial" w:eastAsia="仿宋_GB2312" w:cs="Arial"/>
          <w:color w:val="000000"/>
          <w:kern w:val="0"/>
          <w:sz w:val="32"/>
          <w:szCs w:val="32"/>
          <w:lang w:eastAsia="zh-CN"/>
        </w:rPr>
      </w:pPr>
      <w:bookmarkStart w:id="2" w:name="_GoBack"/>
      <w:r>
        <w:rPr>
          <w:rFonts w:hint="eastAsia" w:ascii="仿宋_GB2312" w:hAnsi="Arial" w:eastAsia="仿宋_GB2312" w:cs="Arial"/>
          <w:color w:val="000000"/>
          <w:kern w:val="0"/>
          <w:sz w:val="32"/>
          <w:szCs w:val="32"/>
          <w:lang w:eastAsia="zh-CN"/>
        </w:rPr>
        <w:t>中共安徽建筑大学经济与管理学院委员会</w:t>
      </w:r>
    </w:p>
    <w:p>
      <w:pPr>
        <w:widowControl/>
        <w:spacing w:line="425" w:lineRule="atLeast"/>
        <w:ind w:firstLine="640" w:firstLineChars="200"/>
        <w:jc w:val="center"/>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color w:val="000000"/>
          <w:kern w:val="0"/>
          <w:sz w:val="32"/>
          <w:szCs w:val="32"/>
          <w:lang w:val="en-US" w:eastAsia="zh-CN"/>
        </w:rPr>
        <w:t>2018年11月10日</w:t>
      </w:r>
    </w:p>
    <w:bookmarkEnd w:id="2"/>
    <w:p/>
    <w:sectPr>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50317"/>
    <w:rsid w:val="2875031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2018-11-14T01:51:00Z</dcterms:created>
  <dc:creator>DELL</dc:creator>
  <cp:lastModifiedBy>DELL</cp:lastModifiedBy>
  <dcterms:modified xsi:type="dcterms:W3CDTF">2018-11-14T01:55:59Z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