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ACC96">
      <w:pPr>
        <w:adjustRightInd/>
        <w:snapToGrid/>
        <w:spacing w:line="242" w:lineRule="auto"/>
        <w:jc w:val="both"/>
        <w:rPr>
          <w:rFonts w:hint="eastAsia" w:ascii="黑体" w:hAnsi="黑体" w:eastAsia="黑体" w:cs="黑体"/>
          <w:b w:val="0"/>
          <w:bCs w:val="0"/>
          <w:color w:val="000000" w:themeColor="text1"/>
          <w:sz w:val="32"/>
          <w:szCs w:val="32"/>
          <w:shd w:val="clear" w:color="auto" w:fill="F6F8FA"/>
          <w:lang w:eastAsia="zh-CN"/>
          <w14:textFill>
            <w14:solidFill>
              <w14:schemeClr w14:val="tx1"/>
            </w14:solidFill>
          </w14:textFill>
        </w:rPr>
      </w:pPr>
      <w:r>
        <w:rPr>
          <w:rFonts w:hint="eastAsia" w:ascii="黑体" w:hAnsi="黑体" w:eastAsia="黑体" w:cs="黑体"/>
          <w:b w:val="0"/>
          <w:bCs w:val="0"/>
          <w:color w:val="000000" w:themeColor="text1"/>
          <w:sz w:val="32"/>
          <w:szCs w:val="32"/>
          <w:shd w:val="clear" w:color="auto" w:fill="F6F8FA"/>
          <w:lang w:eastAsia="zh-CN"/>
          <w14:textFill>
            <w14:solidFill>
              <w14:schemeClr w14:val="tx1"/>
            </w14:solidFill>
          </w14:textFill>
        </w:rPr>
        <w:t>附件3</w:t>
      </w:r>
      <w:bookmarkStart w:id="0" w:name="_GoBack"/>
      <w:bookmarkEnd w:id="0"/>
    </w:p>
    <w:p w14:paraId="7A6FCF0B">
      <w:pPr>
        <w:adjustRightInd/>
        <w:snapToGrid/>
        <w:spacing w:line="242" w:lineRule="auto"/>
        <w:jc w:val="center"/>
        <w:rPr>
          <w:rFonts w:hint="eastAsia" w:ascii="微软雅黑" w:hAnsi="微软雅黑" w:eastAsia="微软雅黑" w:cs="微软雅黑"/>
          <w:b/>
          <w:bCs/>
          <w:color w:val="000000" w:themeColor="text1"/>
          <w:sz w:val="28"/>
          <w:szCs w:val="28"/>
          <w:shd w:val="clear" w:color="auto" w:fill="F6F8FA"/>
          <w:lang w:eastAsia="zh-CN"/>
          <w14:textFill>
            <w14:solidFill>
              <w14:schemeClr w14:val="tx1"/>
            </w14:solidFill>
          </w14:textFill>
        </w:rPr>
      </w:pPr>
      <w:r>
        <w:rPr>
          <w:rFonts w:hint="eastAsia" w:ascii="微软雅黑" w:hAnsi="微软雅黑" w:eastAsia="微软雅黑" w:cs="微软雅黑"/>
          <w:b/>
          <w:bCs/>
          <w:color w:val="000000" w:themeColor="text1"/>
          <w:sz w:val="28"/>
          <w:szCs w:val="28"/>
          <w:shd w:val="clear" w:color="auto" w:fill="F6F8FA"/>
          <w:lang w:eastAsia="zh-CN"/>
          <w14:textFill>
            <w14:solidFill>
              <w14:schemeClr w14:val="tx1"/>
            </w14:solidFill>
          </w14:textFill>
        </w:rPr>
        <w:t>运行使用成效案例佐证材料（范版）</w:t>
      </w:r>
    </w:p>
    <w:p w14:paraId="58568244">
      <w:pPr>
        <w:adjustRightInd/>
        <w:snapToGrid/>
        <w:ind w:firstLine="562" w:firstLineChars="200"/>
        <w:jc w:val="both"/>
        <w:rPr>
          <w:b/>
          <w:bCs/>
          <w:color w:val="000000" w:themeColor="text1"/>
          <w:sz w:val="28"/>
          <w:szCs w:val="28"/>
          <w:lang w:eastAsia="zh-CN"/>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w:t>
      </w:r>
      <w:r>
        <w:rPr>
          <w:b/>
          <w:bCs/>
          <w:color w:val="000000" w:themeColor="text1"/>
          <w:sz w:val="28"/>
          <w:szCs w:val="28"/>
          <w:lang w:eastAsia="zh-CN"/>
          <w14:textFill>
            <w14:solidFill>
              <w14:schemeClr w14:val="tx1"/>
            </w14:solidFill>
          </w14:textFill>
        </w:rPr>
        <w:t>一</w:t>
      </w:r>
      <w:r>
        <w:rPr>
          <w:rFonts w:hint="eastAsia" w:eastAsia="宋体"/>
          <w:b/>
          <w:bCs/>
          <w:color w:val="000000" w:themeColor="text1"/>
          <w:sz w:val="28"/>
          <w:szCs w:val="28"/>
          <w:lang w:eastAsia="zh-CN"/>
          <w14:textFill>
            <w14:solidFill>
              <w14:schemeClr w14:val="tx1"/>
            </w14:solidFill>
          </w14:textFill>
        </w:rPr>
        <w:t>）</w:t>
      </w:r>
      <w:r>
        <w:rPr>
          <w:b/>
          <w:bCs/>
          <w:color w:val="000000" w:themeColor="text1"/>
          <w:sz w:val="28"/>
          <w:szCs w:val="28"/>
          <w:lang w:eastAsia="zh-CN"/>
          <w14:textFill>
            <w14:solidFill>
              <w14:schemeClr w14:val="tx1"/>
            </w14:solidFill>
          </w14:textFill>
        </w:rPr>
        <w:t>大型仪器平台：科研攻关的基石</w:t>
      </w:r>
    </w:p>
    <w:p w14:paraId="42055D4D">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安徽建筑大学现代分析测试中心作为院级大型仪器共享平台，其配备的粉末</w:t>
      </w:r>
      <w:r>
        <w:rPr>
          <w:rFonts w:ascii="Times New Roman" w:hAnsi="Times New Roman" w:cs="Times New Roman"/>
          <w:color w:val="000000" w:themeColor="text1"/>
          <w:sz w:val="28"/>
          <w:szCs w:val="28"/>
          <w:lang w:eastAsia="zh-CN"/>
          <w14:textFill>
            <w14:solidFill>
              <w14:schemeClr w14:val="tx1"/>
            </w14:solidFill>
          </w14:textFill>
        </w:rPr>
        <w:t>X</w:t>
      </w:r>
      <w:r>
        <w:rPr>
          <w:color w:val="000000" w:themeColor="text1"/>
          <w:sz w:val="28"/>
          <w:szCs w:val="28"/>
          <w:lang w:eastAsia="zh-CN"/>
          <w14:textFill>
            <w14:solidFill>
              <w14:schemeClr w14:val="tx1"/>
            </w14:solidFill>
          </w14:textFill>
        </w:rPr>
        <w:t>射线衍射仪（</w:t>
      </w:r>
      <w:r>
        <w:rPr>
          <w:rFonts w:ascii="Times New Roman" w:hAnsi="Times New Roman" w:cs="Times New Roman"/>
          <w:color w:val="000000" w:themeColor="text1"/>
          <w:sz w:val="28"/>
          <w:szCs w:val="28"/>
          <w:lang w:eastAsia="zh-CN"/>
          <w14:textFill>
            <w14:solidFill>
              <w14:schemeClr w14:val="tx1"/>
            </w14:solidFill>
          </w14:textFill>
        </w:rPr>
        <w:t>XRD</w:t>
      </w:r>
      <w:r>
        <w:rPr>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lang w:eastAsia="zh-CN"/>
          <w14:textFill>
            <w14:solidFill>
              <w14:schemeClr w14:val="tx1"/>
            </w14:solidFill>
          </w14:textFill>
        </w:rPr>
        <w:t>X</w:t>
      </w:r>
      <w:r>
        <w:rPr>
          <w:color w:val="000000" w:themeColor="text1"/>
          <w:sz w:val="28"/>
          <w:szCs w:val="28"/>
          <w:lang w:eastAsia="zh-CN"/>
          <w14:textFill>
            <w14:solidFill>
              <w14:schemeClr w14:val="tx1"/>
            </w14:solidFill>
          </w14:textFill>
        </w:rPr>
        <w:t>射线荧光光谱仪（</w:t>
      </w:r>
      <w:r>
        <w:rPr>
          <w:rFonts w:ascii="Times New Roman" w:hAnsi="Times New Roman" w:cs="Times New Roman"/>
          <w:color w:val="000000" w:themeColor="text1"/>
          <w:sz w:val="28"/>
          <w:szCs w:val="28"/>
          <w:lang w:eastAsia="zh-CN"/>
          <w14:textFill>
            <w14:solidFill>
              <w14:schemeClr w14:val="tx1"/>
            </w14:solidFill>
          </w14:textFill>
        </w:rPr>
        <w:t>XRF</w:t>
      </w:r>
      <w:r>
        <w:rPr>
          <w:color w:val="000000" w:themeColor="text1"/>
          <w:sz w:val="28"/>
          <w:szCs w:val="28"/>
          <w:lang w:eastAsia="zh-CN"/>
          <w14:textFill>
            <w14:solidFill>
              <w14:schemeClr w14:val="tx1"/>
            </w14:solidFill>
          </w14:textFill>
        </w:rPr>
        <w:t>）、扫描电子显微镜（</w:t>
      </w:r>
      <w:r>
        <w:rPr>
          <w:rFonts w:ascii="Times New Roman" w:hAnsi="Times New Roman" w:cs="Times New Roman"/>
          <w:color w:val="000000" w:themeColor="text1"/>
          <w:sz w:val="28"/>
          <w:szCs w:val="28"/>
          <w:lang w:eastAsia="zh-CN"/>
          <w14:textFill>
            <w14:solidFill>
              <w14:schemeClr w14:val="tx1"/>
            </w14:solidFill>
          </w14:textFill>
        </w:rPr>
        <w:t>SEM</w:t>
      </w:r>
      <w:r>
        <w:rPr>
          <w:color w:val="000000" w:themeColor="text1"/>
          <w:sz w:val="28"/>
          <w:szCs w:val="28"/>
          <w:lang w:eastAsia="zh-CN"/>
          <w14:textFill>
            <w14:solidFill>
              <w14:schemeClr w14:val="tx1"/>
            </w14:solidFill>
          </w14:textFill>
        </w:rPr>
        <w:t>）及水化热测定仪等先进设备，是支撑我校“先进建筑材料创新团队”开展前沿研究不可或缺的核心工具。团队紧密围绕国家“双碳”战略和建材行业绿色化、高性能化发展需求，深度利用这些设备，聚焦两大核心研究方向：</w:t>
      </w:r>
    </w:p>
    <w:p w14:paraId="545F3DBB">
      <w:pPr>
        <w:adjustRightInd/>
        <w:snapToGrid/>
        <w:ind w:firstLine="560" w:firstLineChars="200"/>
        <w:jc w:val="both"/>
        <w:rPr>
          <w:b/>
          <w:bCs/>
          <w:color w:val="000000" w:themeColor="text1"/>
          <w:sz w:val="28"/>
          <w:szCs w:val="28"/>
          <w:lang w:eastAsia="zh-CN"/>
          <w14:textFill>
            <w14:solidFill>
              <w14:schemeClr w14:val="tx1"/>
            </w14:solidFill>
          </w14:textFill>
        </w:rPr>
      </w:pPr>
      <w:r>
        <w:rPr>
          <w:b/>
          <w:bCs/>
          <w:color w:val="000000" w:themeColor="text1"/>
          <w:sz w:val="28"/>
          <w:szCs w:val="28"/>
          <w:lang w:eastAsia="zh-CN"/>
          <w14:textFill>
            <w14:solidFill>
              <w14:schemeClr w14:val="tx1"/>
            </w14:solidFill>
          </w14:textFill>
        </w:rPr>
        <w:t>方向一：新型低碳胶凝材料制备与性能调</w:t>
      </w:r>
      <w:r>
        <w:rPr>
          <w:rFonts w:hint="eastAsia"/>
          <w:b/>
          <w:bCs/>
          <w:color w:val="000000" w:themeColor="text1"/>
          <w:sz w:val="28"/>
          <w:szCs w:val="28"/>
          <w:lang w:eastAsia="zh-CN"/>
          <w14:textFill>
            <w14:solidFill>
              <w14:schemeClr w14:val="tx1"/>
            </w14:solidFill>
          </w14:textFill>
        </w:rPr>
        <w:t>控</w:t>
      </w:r>
    </w:p>
    <w:p w14:paraId="6901F192">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仪器支撑：利用</w:t>
      </w:r>
      <w:r>
        <w:rPr>
          <w:rFonts w:ascii="Times New Roman" w:hAnsi="Times New Roman" w:cs="Times New Roman"/>
          <w:color w:val="000000" w:themeColor="text1"/>
          <w:sz w:val="28"/>
          <w:szCs w:val="28"/>
          <w:lang w:eastAsia="zh-CN"/>
          <w14:textFill>
            <w14:solidFill>
              <w14:schemeClr w14:val="tx1"/>
            </w14:solidFill>
          </w14:textFill>
        </w:rPr>
        <w:t>XRD</w:t>
      </w:r>
      <w:r>
        <w:rPr>
          <w:color w:val="000000" w:themeColor="text1"/>
          <w:sz w:val="28"/>
          <w:szCs w:val="28"/>
          <w:lang w:eastAsia="zh-CN"/>
          <w14:textFill>
            <w14:solidFill>
              <w14:schemeClr w14:val="tx1"/>
            </w14:solidFill>
          </w14:textFill>
        </w:rPr>
        <w:t>精准解析新型低碳水泥（如高贝利特水泥、硫铝酸盐水泥、固废基胶凝材料）的矿物组成与晶体结构演变；借助</w:t>
      </w:r>
      <w:r>
        <w:rPr>
          <w:rFonts w:ascii="Times New Roman" w:hAnsi="Times New Roman" w:cs="Times New Roman"/>
          <w:color w:val="000000" w:themeColor="text1"/>
          <w:sz w:val="28"/>
          <w:szCs w:val="28"/>
          <w:lang w:eastAsia="zh-CN"/>
          <w14:textFill>
            <w14:solidFill>
              <w14:schemeClr w14:val="tx1"/>
            </w14:solidFill>
          </w14:textFill>
        </w:rPr>
        <w:t>SEM</w:t>
      </w:r>
      <w:r>
        <w:rPr>
          <w:color w:val="000000" w:themeColor="text1"/>
          <w:sz w:val="28"/>
          <w:szCs w:val="28"/>
          <w:lang w:eastAsia="zh-CN"/>
          <w14:textFill>
            <w14:solidFill>
              <w14:schemeClr w14:val="tx1"/>
            </w14:solidFill>
          </w14:textFill>
        </w:rPr>
        <w:t>直观观测其水化产物的微观形貌（如</w:t>
      </w:r>
      <w:r>
        <w:rPr>
          <w:rFonts w:ascii="Times New Roman" w:hAnsi="Times New Roman" w:cs="Times New Roman"/>
          <w:color w:val="000000" w:themeColor="text1"/>
          <w:sz w:val="28"/>
          <w:szCs w:val="28"/>
          <w:lang w:eastAsia="zh-CN"/>
          <w14:textFill>
            <w14:solidFill>
              <w14:schemeClr w14:val="tx1"/>
            </w14:solidFill>
          </w14:textFill>
        </w:rPr>
        <w:t>C-S-H</w:t>
      </w:r>
      <w:r>
        <w:rPr>
          <w:color w:val="000000" w:themeColor="text1"/>
          <w:sz w:val="28"/>
          <w:szCs w:val="28"/>
          <w:lang w:eastAsia="zh-CN"/>
          <w14:textFill>
            <w14:solidFill>
              <w14:schemeClr w14:val="tx1"/>
            </w14:solidFill>
          </w14:textFill>
        </w:rPr>
        <w:t>凝胶形貌、孔隙结构）；通过 水化热测定仪实时监测并优化其水化放热历程，为调控凝结时间、降低早期开裂风险提供关键数据；利用</w:t>
      </w:r>
      <w:r>
        <w:rPr>
          <w:rFonts w:ascii="Times New Roman" w:hAnsi="Times New Roman" w:cs="Times New Roman"/>
          <w:color w:val="000000" w:themeColor="text1"/>
          <w:sz w:val="28"/>
          <w:szCs w:val="28"/>
          <w:lang w:eastAsia="zh-CN"/>
          <w14:textFill>
            <w14:solidFill>
              <w14:schemeClr w14:val="tx1"/>
            </w14:solidFill>
          </w14:textFill>
        </w:rPr>
        <w:t>XRF</w:t>
      </w:r>
      <w:r>
        <w:rPr>
          <w:color w:val="000000" w:themeColor="text1"/>
          <w:sz w:val="28"/>
          <w:szCs w:val="28"/>
          <w:lang w:eastAsia="zh-CN"/>
          <w14:textFill>
            <w14:solidFill>
              <w14:schemeClr w14:val="tx1"/>
            </w14:solidFill>
          </w14:textFill>
        </w:rPr>
        <w:t>精确控制原材料及产品的化学成分</w:t>
      </w:r>
      <w:r>
        <w:rPr>
          <w:rFonts w:hint="eastAsia" w:eastAsia="宋体"/>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确保性能稳定。</w:t>
      </w:r>
    </w:p>
    <w:p w14:paraId="4A8E956D">
      <w:pPr>
        <w:adjustRightInd/>
        <w:snapToGrid/>
        <w:ind w:firstLine="560" w:firstLineChars="200"/>
        <w:jc w:val="both"/>
        <w:rPr>
          <w:b/>
          <w:bCs/>
          <w:color w:val="000000" w:themeColor="text1"/>
          <w:sz w:val="28"/>
          <w:szCs w:val="28"/>
          <w:lang w:eastAsia="zh-CN"/>
          <w14:textFill>
            <w14:solidFill>
              <w14:schemeClr w14:val="tx1"/>
            </w14:solidFill>
          </w14:textFill>
        </w:rPr>
      </w:pPr>
      <w:r>
        <w:rPr>
          <w:b/>
          <w:bCs/>
          <w:color w:val="000000" w:themeColor="text1"/>
          <w:sz w:val="28"/>
          <w:szCs w:val="28"/>
          <w:lang w:eastAsia="zh-CN"/>
          <w14:textFill>
            <w14:solidFill>
              <w14:schemeClr w14:val="tx1"/>
            </w14:solidFill>
          </w14:textFill>
        </w:rPr>
        <w:t>方向二：高抗耐蚀再生骨料混凝土的设计与提升机制</w:t>
      </w:r>
    </w:p>
    <w:p w14:paraId="1B6141F1">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 xml:space="preserve">仪器支撑：运用 </w:t>
      </w:r>
      <w:r>
        <w:rPr>
          <w:rFonts w:ascii="Times New Roman" w:hAnsi="Times New Roman" w:cs="Times New Roman"/>
          <w:color w:val="000000" w:themeColor="text1"/>
          <w:sz w:val="28"/>
          <w:szCs w:val="28"/>
          <w:lang w:eastAsia="zh-CN"/>
          <w14:textFill>
            <w14:solidFill>
              <w14:schemeClr w14:val="tx1"/>
            </w14:solidFill>
          </w14:textFill>
        </w:rPr>
        <w:t>SEM</w:t>
      </w:r>
      <w:r>
        <w:rPr>
          <w:color w:val="000000" w:themeColor="text1"/>
          <w:sz w:val="28"/>
          <w:szCs w:val="28"/>
          <w:lang w:eastAsia="zh-CN"/>
          <w14:textFill>
            <w14:solidFill>
              <w14:schemeClr w14:val="tx1"/>
            </w14:solidFill>
          </w14:textFill>
        </w:rPr>
        <w:t>深入研究再生骨料-水泥浆体界面过渡区（</w:t>
      </w:r>
      <w:r>
        <w:rPr>
          <w:rFonts w:ascii="Times New Roman" w:hAnsi="Times New Roman" w:cs="Times New Roman"/>
          <w:color w:val="000000" w:themeColor="text1"/>
          <w:sz w:val="28"/>
          <w:szCs w:val="28"/>
          <w:lang w:eastAsia="zh-CN"/>
          <w14:textFill>
            <w14:solidFill>
              <w14:schemeClr w14:val="tx1"/>
            </w14:solidFill>
          </w14:textFill>
        </w:rPr>
        <w:t>ITZ</w:t>
      </w:r>
      <w:r>
        <w:rPr>
          <w:color w:val="000000" w:themeColor="text1"/>
          <w:sz w:val="28"/>
          <w:szCs w:val="28"/>
          <w:lang w:eastAsia="zh-CN"/>
          <w14:textFill>
            <w14:solidFill>
              <w14:schemeClr w14:val="tx1"/>
            </w14:solidFill>
          </w14:textFill>
        </w:rPr>
        <w:t>）的微观结构特征（如孔隙率、微裂纹、水化产物分布），揭示影响耐久性的关键因素；通过</w:t>
      </w:r>
      <w:r>
        <w:rPr>
          <w:rFonts w:ascii="Times New Roman" w:hAnsi="Times New Roman" w:cs="Times New Roman"/>
          <w:color w:val="000000" w:themeColor="text1"/>
          <w:sz w:val="28"/>
          <w:szCs w:val="28"/>
          <w:lang w:eastAsia="zh-CN"/>
          <w14:textFill>
            <w14:solidFill>
              <w14:schemeClr w14:val="tx1"/>
            </w14:solidFill>
          </w14:textFill>
        </w:rPr>
        <w:t>XRD</w:t>
      </w:r>
      <w:r>
        <w:rPr>
          <w:color w:val="000000" w:themeColor="text1"/>
          <w:sz w:val="28"/>
          <w:szCs w:val="28"/>
          <w:lang w:eastAsia="zh-CN"/>
          <w14:textFill>
            <w14:solidFill>
              <w14:schemeClr w14:val="tx1"/>
            </w14:solidFill>
          </w14:textFill>
        </w:rPr>
        <w:t>分析侵蚀环境（氯盐、硫酸盐等）下混凝土内部物相转变，阐明劣化机理；结合</w:t>
      </w:r>
      <w:r>
        <w:rPr>
          <w:rFonts w:ascii="Times New Roman" w:hAnsi="Times New Roman" w:cs="Times New Roman"/>
          <w:color w:val="000000" w:themeColor="text1"/>
          <w:sz w:val="28"/>
          <w:szCs w:val="28"/>
          <w:lang w:eastAsia="zh-CN"/>
          <w14:textFill>
            <w14:solidFill>
              <w14:schemeClr w14:val="tx1"/>
            </w14:solidFill>
          </w14:textFill>
        </w:rPr>
        <w:t>XRF</w:t>
      </w:r>
      <w:r>
        <w:rPr>
          <w:color w:val="000000" w:themeColor="text1"/>
          <w:sz w:val="28"/>
          <w:szCs w:val="28"/>
          <w:lang w:eastAsia="zh-CN"/>
          <w14:textFill>
            <w14:solidFill>
              <w14:schemeClr w14:val="tx1"/>
            </w14:solidFill>
          </w14:textFill>
        </w:rPr>
        <w:t>分析原材料及侵蚀产物的化学组成，指导抗蚀组分设计。</w:t>
      </w:r>
    </w:p>
    <w:p w14:paraId="3076AABA">
      <w:pPr>
        <w:adjustRightInd/>
        <w:snapToGrid/>
        <w:ind w:firstLine="560" w:firstLineChars="200"/>
        <w:jc w:val="both"/>
        <w:rPr>
          <w:color w:val="000000" w:themeColor="text1"/>
          <w:sz w:val="28"/>
          <w:szCs w:val="28"/>
          <w:lang w:eastAsia="zh-CN"/>
          <w14:textFill>
            <w14:solidFill>
              <w14:schemeClr w14:val="tx1"/>
            </w14:solidFill>
          </w14:textFill>
        </w:rPr>
      </w:pPr>
    </w:p>
    <w:p w14:paraId="1A4BD1E8">
      <w:pPr>
        <w:adjustRightInd/>
        <w:snapToGrid/>
        <w:ind w:firstLine="562" w:firstLineChars="200"/>
        <w:jc w:val="both"/>
        <w:rPr>
          <w:b/>
          <w:bCs/>
          <w:color w:val="000000" w:themeColor="text1"/>
          <w:sz w:val="28"/>
          <w:szCs w:val="28"/>
          <w:lang w:eastAsia="zh-CN"/>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（二）</w:t>
      </w:r>
      <w:r>
        <w:rPr>
          <w:b/>
          <w:bCs/>
          <w:color w:val="000000" w:themeColor="text1"/>
          <w:sz w:val="28"/>
          <w:szCs w:val="28"/>
          <w:lang w:eastAsia="zh-CN"/>
          <w14:textFill>
            <w14:solidFill>
              <w14:schemeClr w14:val="tx1"/>
            </w14:solidFill>
          </w14:textFill>
        </w:rPr>
        <w:t>丰硕的科研成果：仪器效能的有力证明</w:t>
      </w:r>
    </w:p>
    <w:p w14:paraId="25AACEAC">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在大型仪器平台的强力支撑下，团队科研工作取得了显著成效，仪器使用效率高、支撑成果丰硕。</w:t>
      </w:r>
    </w:p>
    <w:p w14:paraId="35D6744F">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14:textFill>
            <w14:solidFill>
              <w14:schemeClr w14:val="tx1"/>
            </w14:solidFill>
          </w14:textFill>
        </w:rPr>
        <w:t>1.高水平学术论文：在建筑材料领域顶级/重要期刊如《</w:t>
      </w:r>
      <w:r>
        <w:rPr>
          <w:rFonts w:ascii="Times New Roman" w:hAnsi="Times New Roman" w:cs="Times New Roman"/>
          <w:color w:val="000000" w:themeColor="text1"/>
          <w:sz w:val="28"/>
          <w:szCs w:val="28"/>
          <w14:textFill>
            <w14:solidFill>
              <w14:schemeClr w14:val="tx1"/>
            </w14:solidFill>
          </w14:textFill>
        </w:rPr>
        <w:t>Construction and Building Materials</w:t>
      </w:r>
      <w:r>
        <w:rPr>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Journal of Building Engineering</w:t>
      </w:r>
      <w:r>
        <w:rPr>
          <w:color w:val="000000" w:themeColor="text1"/>
          <w:sz w:val="28"/>
          <w:szCs w:val="28"/>
          <w14:textFill>
            <w14:solidFill>
              <w14:schemeClr w14:val="tx1"/>
            </w14:solidFill>
          </w14:textFill>
        </w:rPr>
        <w:t>》等发表高水平</w:t>
      </w:r>
      <w:r>
        <w:rPr>
          <w:rFonts w:ascii="Times New Roman" w:hAnsi="Times New Roman" w:cs="Times New Roman"/>
          <w:color w:val="000000" w:themeColor="text1"/>
          <w:sz w:val="28"/>
          <w:szCs w:val="28"/>
          <w14:textFill>
            <w14:solidFill>
              <w14:schemeClr w14:val="tx1"/>
            </w14:solidFill>
          </w14:textFill>
        </w:rPr>
        <w:t>SCI/EI</w:t>
      </w:r>
      <w:r>
        <w:rPr>
          <w:color w:val="000000" w:themeColor="text1"/>
          <w:sz w:val="28"/>
          <w:szCs w:val="28"/>
          <w14:textFill>
            <w14:solidFill>
              <w14:schemeClr w14:val="tx1"/>
            </w14:solidFill>
          </w14:textFill>
        </w:rPr>
        <w:t>收录论文</w:t>
      </w:r>
      <w:r>
        <w:rPr>
          <w:rFonts w:ascii="Times New Roman" w:hAnsi="Times New Roman" w:cs="Times New Roman"/>
          <w:color w:val="000000" w:themeColor="text1"/>
          <w:sz w:val="28"/>
          <w:szCs w:val="28"/>
          <w14:textFill>
            <w14:solidFill>
              <w14:schemeClr w14:val="tx1"/>
            </w14:solidFill>
          </w14:textFill>
        </w:rPr>
        <w:t>12</w:t>
      </w:r>
      <w:r>
        <w:rPr>
          <w:color w:val="000000" w:themeColor="text1"/>
          <w:sz w:val="28"/>
          <w:szCs w:val="28"/>
          <w14:textFill>
            <w14:solidFill>
              <w14:schemeClr w14:val="tx1"/>
            </w14:solidFill>
          </w14:textFill>
        </w:rPr>
        <w:t>篇。</w:t>
      </w:r>
      <w:r>
        <w:rPr>
          <w:color w:val="000000" w:themeColor="text1"/>
          <w:sz w:val="28"/>
          <w:szCs w:val="28"/>
          <w:lang w:eastAsia="zh-CN"/>
          <w14:textFill>
            <w14:solidFill>
              <w14:schemeClr w14:val="tx1"/>
            </w14:solidFill>
          </w14:textFill>
        </w:rPr>
        <w:t>这些论文的核心数据（物相分析、微观形貌、水化热曲线）均直接来源于上述仪器测试结果。</w:t>
      </w:r>
    </w:p>
    <w:p w14:paraId="2357D484">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2.核心知识产权：围绕研究成果，申请并获授权国家发明专利</w:t>
      </w:r>
      <w:r>
        <w:rPr>
          <w:rFonts w:ascii="Times New Roman" w:hAnsi="Times New Roman" w:cs="Times New Roman"/>
          <w:color w:val="000000" w:themeColor="text1"/>
          <w:sz w:val="28"/>
          <w:szCs w:val="28"/>
          <w:lang w:eastAsia="zh-CN"/>
          <w14:textFill>
            <w14:solidFill>
              <w14:schemeClr w14:val="tx1"/>
            </w14:solidFill>
          </w14:textFill>
        </w:rPr>
        <w:t>8</w:t>
      </w:r>
      <w:r>
        <w:rPr>
          <w:color w:val="000000" w:themeColor="text1"/>
          <w:sz w:val="28"/>
          <w:szCs w:val="28"/>
          <w:lang w:eastAsia="zh-CN"/>
          <w14:textFill>
            <w14:solidFill>
              <w14:schemeClr w14:val="tx1"/>
            </w14:solidFill>
          </w14:textFill>
        </w:rPr>
        <w:t>件。这些专利是技术创新的直接体现，为后续转化奠定了基础。</w:t>
      </w:r>
    </w:p>
    <w:p w14:paraId="4719BEA3">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3.重要科技奖励：研究成果获得行业高度认可：</w:t>
      </w:r>
    </w:p>
    <w:p w14:paraId="5B4DD7C8">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多品类石膏基低碳建筑材料关键技术研发与产业化》（安徽建筑大学为第一完成单位）荣获中国非金属矿工业协会科学技术奖一等奖。该奖项充分肯定了团队在利用大宗固废（如磷石膏、脱硫石膏）替代天然资源、降低建材碳排放方面的重大技术突破，仪器分析在固废活化机理、新相形成及产品性能优化中发挥了决定性作用。</w:t>
      </w:r>
    </w:p>
    <w:p w14:paraId="768188A7">
      <w:pPr>
        <w:adjustRightInd/>
        <w:snapToGrid/>
        <w:ind w:firstLine="560" w:firstLineChars="200"/>
        <w:jc w:val="both"/>
        <w:rPr>
          <w:rFonts w:eastAsia="宋体"/>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《高抗渗强耐蚀再生骨料混凝土的设计理论与提升机制》（安徽建筑大学为第一完成单位）荣获中国建筑材料联合会</w:t>
      </w:r>
      <w:r>
        <w:rPr>
          <w:rFonts w:hint="eastAsia"/>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中国硅酸盐学会建筑材料科学技术奖（基础研究类）二等奖。该成果系统建立了再生混凝土耐久性提升的理论框架，其中对</w:t>
      </w:r>
      <w:r>
        <w:rPr>
          <w:rFonts w:ascii="Times New Roman" w:hAnsi="Times New Roman" w:cs="Times New Roman"/>
          <w:color w:val="000000" w:themeColor="text1"/>
          <w:sz w:val="28"/>
          <w:szCs w:val="28"/>
          <w:lang w:eastAsia="zh-CN"/>
          <w14:textFill>
            <w14:solidFill>
              <w14:schemeClr w14:val="tx1"/>
            </w14:solidFill>
          </w14:textFill>
        </w:rPr>
        <w:t>ITZ</w:t>
      </w:r>
      <w:r>
        <w:rPr>
          <w:color w:val="000000" w:themeColor="text1"/>
          <w:sz w:val="28"/>
          <w:szCs w:val="28"/>
          <w:lang w:eastAsia="zh-CN"/>
          <w14:textFill>
            <w14:solidFill>
              <w14:schemeClr w14:val="tx1"/>
            </w14:solidFill>
          </w14:textFill>
        </w:rPr>
        <w:t>微观结构的深入表征（</w:t>
      </w:r>
      <w:r>
        <w:rPr>
          <w:rFonts w:ascii="Times New Roman" w:hAnsi="Times New Roman" w:cs="Times New Roman"/>
          <w:color w:val="000000" w:themeColor="text1"/>
          <w:sz w:val="28"/>
          <w:szCs w:val="28"/>
          <w:lang w:eastAsia="zh-CN"/>
          <w14:textFill>
            <w14:solidFill>
              <w14:schemeClr w14:val="tx1"/>
            </w14:solidFill>
          </w14:textFill>
        </w:rPr>
        <w:t>SEM</w:t>
      </w:r>
      <w:r>
        <w:rPr>
          <w:color w:val="000000" w:themeColor="text1"/>
          <w:sz w:val="28"/>
          <w:szCs w:val="28"/>
          <w:lang w:eastAsia="zh-CN"/>
          <w14:textFill>
            <w14:solidFill>
              <w14:schemeClr w14:val="tx1"/>
            </w14:solidFill>
          </w14:textFill>
        </w:rPr>
        <w:t>）、侵蚀产物分析（</w:t>
      </w:r>
      <w:r>
        <w:rPr>
          <w:rFonts w:ascii="Times New Roman" w:hAnsi="Times New Roman" w:cs="Times New Roman"/>
          <w:color w:val="000000" w:themeColor="text1"/>
          <w:sz w:val="28"/>
          <w:szCs w:val="28"/>
          <w:lang w:eastAsia="zh-CN"/>
          <w14:textFill>
            <w14:solidFill>
              <w14:schemeClr w14:val="tx1"/>
            </w14:solidFill>
          </w14:textFill>
        </w:rPr>
        <w:t>XRD</w:t>
      </w:r>
      <w:r>
        <w:rPr>
          <w:rFonts w:hint="eastAsia"/>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lang w:eastAsia="zh-CN"/>
          <w14:textFill>
            <w14:solidFill>
              <w14:schemeClr w14:val="tx1"/>
            </w14:solidFill>
          </w14:textFill>
        </w:rPr>
        <w:t>XRF</w:t>
      </w:r>
      <w:r>
        <w:rPr>
          <w:color w:val="000000" w:themeColor="text1"/>
          <w:sz w:val="28"/>
          <w:szCs w:val="28"/>
          <w:lang w:eastAsia="zh-CN"/>
          <w14:textFill>
            <w14:solidFill>
              <w14:schemeClr w14:val="tx1"/>
            </w14:solidFill>
          </w14:textFill>
        </w:rPr>
        <w:t>）是理论创新的关键实验依据</w:t>
      </w:r>
      <w:r>
        <w:rPr>
          <w:rFonts w:hint="eastAsia" w:eastAsia="宋体"/>
          <w:color w:val="000000" w:themeColor="text1"/>
          <w:sz w:val="28"/>
          <w:szCs w:val="28"/>
          <w:lang w:eastAsia="zh-CN"/>
          <w14:textFill>
            <w14:solidFill>
              <w14:schemeClr w14:val="tx1"/>
            </w14:solidFill>
          </w14:textFill>
        </w:rPr>
        <w:t>。</w:t>
      </w:r>
    </w:p>
    <w:p w14:paraId="34636D8C">
      <w:pPr>
        <w:adjustRightInd/>
        <w:snapToGrid/>
        <w:ind w:firstLine="560" w:firstLineChars="200"/>
        <w:jc w:val="both"/>
        <w:rPr>
          <w:color w:val="000000" w:themeColor="text1"/>
          <w:sz w:val="28"/>
          <w:szCs w:val="28"/>
          <w:lang w:eastAsia="zh-CN"/>
          <w14:textFill>
            <w14:solidFill>
              <w14:schemeClr w14:val="tx1"/>
            </w14:solidFill>
          </w14:textFill>
        </w:rPr>
      </w:pPr>
    </w:p>
    <w:p w14:paraId="6AF288E1">
      <w:pPr>
        <w:adjustRightInd/>
        <w:snapToGrid/>
        <w:ind w:firstLine="562" w:firstLineChars="200"/>
        <w:jc w:val="both"/>
        <w:rPr>
          <w:b/>
          <w:bCs/>
          <w:color w:val="000000" w:themeColor="text1"/>
          <w:sz w:val="28"/>
          <w:szCs w:val="28"/>
          <w:lang w:eastAsia="zh-CN"/>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（三）</w:t>
      </w:r>
      <w:r>
        <w:rPr>
          <w:b/>
          <w:bCs/>
          <w:color w:val="000000" w:themeColor="text1"/>
          <w:sz w:val="28"/>
          <w:szCs w:val="28"/>
          <w:lang w:eastAsia="zh-CN"/>
          <w14:textFill>
            <w14:solidFill>
              <w14:schemeClr w14:val="tx1"/>
            </w14:solidFill>
          </w14:textFill>
        </w:rPr>
        <w:t>深度的产学研融合：仪器价值的社会延伸</w:t>
      </w:r>
    </w:p>
    <w:p w14:paraId="18C40CCA">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团队依托仪器平台，积极推动科研成果走出实验室，服务产业需求，形成了紧密的产学研合作生态。与贵州师范大学、合肥水泥研究设计院有限公司、陕西富平生态水泥有限公司建立长期稳定的战略合作关系。仪器平台作为共享枢纽，为合作单位提供了关键的测试分析服务（如合作项目的材料表征、性能测试），共同解决技术难题。</w:t>
      </w:r>
    </w:p>
    <w:p w14:paraId="4CCD0E8B">
      <w:pPr>
        <w:adjustRightInd/>
        <w:snapToGrid/>
        <w:ind w:firstLine="560" w:firstLineChars="200"/>
        <w:jc w:val="both"/>
        <w:rPr>
          <w:color w:val="000000" w:themeColor="text1"/>
          <w:sz w:val="28"/>
          <w:szCs w:val="28"/>
          <w:lang w:eastAsia="zh-CN"/>
          <w14:textFill>
            <w14:solidFill>
              <w14:schemeClr w14:val="tx1"/>
            </w14:solidFill>
          </w14:textFill>
        </w:rPr>
      </w:pPr>
    </w:p>
    <w:p w14:paraId="4CDFAA20">
      <w:pPr>
        <w:adjustRightInd/>
        <w:snapToGrid/>
        <w:ind w:firstLine="562" w:firstLineChars="200"/>
        <w:jc w:val="both"/>
        <w:rPr>
          <w:b/>
          <w:bCs/>
          <w:color w:val="000000" w:themeColor="text1"/>
          <w:sz w:val="28"/>
          <w:szCs w:val="28"/>
          <w:lang w:eastAsia="zh-CN"/>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（四）</w:t>
      </w:r>
      <w:r>
        <w:rPr>
          <w:b/>
          <w:bCs/>
          <w:color w:val="000000" w:themeColor="text1"/>
          <w:sz w:val="28"/>
          <w:szCs w:val="28"/>
          <w:lang w:eastAsia="zh-CN"/>
          <w14:textFill>
            <w14:solidFill>
              <w14:schemeClr w14:val="tx1"/>
            </w14:solidFill>
          </w14:textFill>
        </w:rPr>
        <w:t>平台建设与持续发展：仪器共享的杠杆效应</w:t>
      </w:r>
    </w:p>
    <w:p w14:paraId="3C414425">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大型仪器的高效利用，显著提升了学校的科研平台实力和项目竞争力。</w:t>
      </w:r>
    </w:p>
    <w:p w14:paraId="17979057">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1</w:t>
      </w:r>
      <w:r>
        <w:rPr>
          <w:rFonts w:hint="eastAsia" w:eastAsiaTheme="minorEastAsia"/>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省级平台的获批：成功申报并获批建设“先进土木工程材料安徽省重点实验室”。该实验室的获批，是仪器平台支撑高水平科研、汇聚人才能力的重要体现，为未来持续发展奠定了更高层次的基础。</w:t>
      </w:r>
    </w:p>
    <w:p w14:paraId="015B99F2">
      <w:pPr>
        <w:adjustRightInd/>
        <w:snapToGrid/>
        <w:ind w:firstLine="560" w:firstLineChars="200"/>
        <w:jc w:val="both"/>
        <w:rPr>
          <w:rFonts w:eastAsia="宋体"/>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2.国家级项目获批：团队在仪器平台支撑下积累的扎实研究基础和前期成果，是成功申请科研项目的重要保障。2024年团队在“先进建筑材料”方向一举获批国家自然科学基金项目2项，标志着团队基础研究能力达到行业前列，仪器平台是这些项目顺利实施的必备条件</w:t>
      </w:r>
      <w:r>
        <w:rPr>
          <w:rFonts w:hint="eastAsia" w:eastAsia="宋体"/>
          <w:color w:val="000000" w:themeColor="text1"/>
          <w:sz w:val="28"/>
          <w:szCs w:val="28"/>
          <w:lang w:eastAsia="zh-CN"/>
          <w14:textFill>
            <w14:solidFill>
              <w14:schemeClr w14:val="tx1"/>
            </w14:solidFill>
          </w14:textFill>
        </w:rPr>
        <w:t>。</w:t>
      </w:r>
    </w:p>
    <w:p w14:paraId="68E5AA09">
      <w:pPr>
        <w:adjustRightInd/>
        <w:snapToGrid/>
        <w:ind w:firstLine="560" w:firstLineChars="200"/>
        <w:jc w:val="both"/>
        <w:rPr>
          <w:color w:val="000000" w:themeColor="text1"/>
          <w:sz w:val="28"/>
          <w:szCs w:val="28"/>
          <w:lang w:eastAsia="zh-CN"/>
          <w14:textFill>
            <w14:solidFill>
              <w14:schemeClr w14:val="tx1"/>
            </w14:solidFill>
          </w14:textFill>
        </w:rPr>
      </w:pPr>
    </w:p>
    <w:p w14:paraId="4A87BE49">
      <w:pPr>
        <w:adjustRightInd/>
        <w:snapToGrid/>
        <w:ind w:firstLine="562" w:firstLineChars="200"/>
        <w:jc w:val="both"/>
        <w:rPr>
          <w:b/>
          <w:bCs/>
          <w:color w:val="000000" w:themeColor="text1"/>
          <w:sz w:val="28"/>
          <w:szCs w:val="28"/>
          <w:lang w:eastAsia="zh-CN"/>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（五）</w:t>
      </w:r>
      <w:r>
        <w:rPr>
          <w:b/>
          <w:bCs/>
          <w:color w:val="000000" w:themeColor="text1"/>
          <w:sz w:val="28"/>
          <w:szCs w:val="28"/>
          <w:lang w:eastAsia="zh-CN"/>
          <w14:textFill>
            <w14:solidFill>
              <w14:schemeClr w14:val="tx1"/>
            </w14:solidFill>
          </w14:textFill>
        </w:rPr>
        <w:t>总结</w:t>
      </w:r>
    </w:p>
    <w:p w14:paraId="4338F1CF">
      <w:pPr>
        <w:adjustRightInd/>
        <w:snapToGrid/>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安徽建筑大学现代分析测试中心的大型分析仪器（</w:t>
      </w:r>
      <w:r>
        <w:rPr>
          <w:rFonts w:ascii="Times New Roman" w:hAnsi="Times New Roman" w:cs="Times New Roman"/>
          <w:color w:val="000000" w:themeColor="text1"/>
          <w:sz w:val="28"/>
          <w:szCs w:val="28"/>
          <w:lang w:eastAsia="zh-CN"/>
          <w14:textFill>
            <w14:solidFill>
              <w14:schemeClr w14:val="tx1"/>
            </w14:solidFill>
          </w14:textFill>
        </w:rPr>
        <w:t>XRD</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lang w:eastAsia="zh-CN"/>
          <w14:textFill>
            <w14:solidFill>
              <w14:schemeClr w14:val="tx1"/>
            </w14:solidFill>
          </w14:textFill>
        </w:rPr>
        <w:t>XRF</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lang w:eastAsia="zh-CN"/>
          <w14:textFill>
            <w14:solidFill>
              <w14:schemeClr w14:val="tx1"/>
            </w14:solidFill>
          </w14:textFill>
        </w:rPr>
        <w:t>SEM</w:t>
      </w:r>
      <w:r>
        <w:rPr>
          <w:rFonts w:hint="eastAsia" w:ascii="Times New Roman" w:hAnsi="Times New Roman" w:cs="Times New Roman"/>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水化热仪等）是</w:t>
      </w:r>
      <w:r>
        <w:rPr>
          <w:rFonts w:hint="eastAsia"/>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先进建筑材料创新团队”取得丰硕成果的核心引擎。通过深度利用这些设备，团队在新型低碳水泥和高性能再生混凝土领域取得了多项成果；与合肥水泥研究设计院等单位的深度合作，创造了显著的经济社会效益；同时，仪器平台有力支撑了安徽省重点实验室的获批和国家自然科学基金项目的立项，显著提升了学校的科研平台层次和竞争力。该案例充分证明了大型仪器设备在推动前沿基础研究、促进产学研深度融合、服务国家重大战略需求（双碳、固废利用）、提升学校整体科研实力等方面发挥了不可替代的关键作用，仪器使用成效显著</w:t>
      </w:r>
      <w:r>
        <w:rPr>
          <w:rFonts w:hint="eastAsia" w:eastAsia="宋体"/>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管理运行高效。</w:t>
      </w:r>
    </w:p>
    <w:p w14:paraId="4FEFC73B">
      <w:pPr>
        <w:adjustRightInd/>
        <w:snapToGrid/>
        <w:ind w:firstLine="560" w:firstLineChars="200"/>
        <w:jc w:val="both"/>
        <w:rPr>
          <w:color w:val="000000" w:themeColor="text1"/>
          <w:sz w:val="28"/>
          <w:szCs w:val="28"/>
          <w:lang w:eastAsia="zh-CN"/>
          <w14:textFill>
            <w14:solidFill>
              <w14:schemeClr w14:val="tx1"/>
            </w14:solidFill>
          </w14:textFill>
        </w:rPr>
      </w:pPr>
    </w:p>
    <w:p w14:paraId="7FA4D340">
      <w:pPr>
        <w:adjustRightInd/>
        <w:snapToGrid/>
        <w:ind w:firstLine="560" w:firstLineChars="200"/>
        <w:jc w:val="both"/>
        <w:rPr>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（六）支撑论文及项目（部分截屏）</w:t>
      </w:r>
    </w:p>
    <w:p w14:paraId="10C5A1F8">
      <w:pPr>
        <w:spacing w:line="242"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35270" cy="4377690"/>
            <wp:effectExtent l="0" t="0" r="17780" b="381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4"/>
                    <a:stretch>
                      <a:fillRect/>
                    </a:stretch>
                  </pic:blipFill>
                  <pic:spPr>
                    <a:xfrm>
                      <a:off x="0" y="0"/>
                      <a:ext cx="5335270" cy="4377690"/>
                    </a:xfrm>
                    <a:prstGeom prst="rect">
                      <a:avLst/>
                    </a:prstGeom>
                    <a:noFill/>
                    <a:ln>
                      <a:noFill/>
                    </a:ln>
                  </pic:spPr>
                </pic:pic>
              </a:graphicData>
            </a:graphic>
          </wp:inline>
        </w:drawing>
      </w:r>
    </w:p>
    <w:p w14:paraId="319ED31C">
      <w:pPr>
        <w:spacing w:line="242"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37175" cy="4414520"/>
            <wp:effectExtent l="0" t="0" r="15875" b="508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5"/>
                    <a:stretch>
                      <a:fillRect/>
                    </a:stretch>
                  </pic:blipFill>
                  <pic:spPr>
                    <a:xfrm>
                      <a:off x="0" y="0"/>
                      <a:ext cx="5337175" cy="4414520"/>
                    </a:xfrm>
                    <a:prstGeom prst="rect">
                      <a:avLst/>
                    </a:prstGeom>
                    <a:noFill/>
                    <a:ln>
                      <a:noFill/>
                    </a:ln>
                  </pic:spPr>
                </pic:pic>
              </a:graphicData>
            </a:graphic>
          </wp:inline>
        </w:drawing>
      </w:r>
    </w:p>
    <w:p w14:paraId="7C0C9162">
      <w:pPr>
        <w:spacing w:line="242" w:lineRule="auto"/>
        <w:rPr>
          <w:color w:val="000000" w:themeColor="text1"/>
          <w14:textFill>
            <w14:solidFill>
              <w14:schemeClr w14:val="tx1"/>
            </w14:solidFill>
          </w14:textFill>
        </w:rPr>
      </w:pPr>
    </w:p>
    <w:p w14:paraId="555EFB34">
      <w:pPr>
        <w:spacing w:line="242" w:lineRule="auto"/>
        <w:rPr>
          <w:color w:val="000000" w:themeColor="text1"/>
          <w14:textFill>
            <w14:solidFill>
              <w14:schemeClr w14:val="tx1"/>
            </w14:solidFill>
          </w14:textFill>
        </w:rPr>
      </w:pPr>
    </w:p>
    <w:p w14:paraId="56D85625">
      <w:pPr>
        <w:spacing w:line="242" w:lineRule="auto"/>
        <w:rPr>
          <w:color w:val="000000" w:themeColor="text1"/>
          <w14:textFill>
            <w14:solidFill>
              <w14:schemeClr w14:val="tx1"/>
            </w14:solidFill>
          </w14:textFill>
        </w:rPr>
      </w:pPr>
    </w:p>
    <w:p w14:paraId="00D6498C">
      <w:pPr>
        <w:spacing w:line="242" w:lineRule="auto"/>
        <w:rPr>
          <w:color w:val="000000" w:themeColor="text1"/>
          <w14:textFill>
            <w14:solidFill>
              <w14:schemeClr w14:val="tx1"/>
            </w14:solidFill>
          </w14:textFill>
        </w:rPr>
      </w:pPr>
    </w:p>
    <w:p w14:paraId="2A49E1E2">
      <w:pPr>
        <w:spacing w:line="242" w:lineRule="auto"/>
        <w:rPr>
          <w:color w:val="000000" w:themeColor="text1"/>
          <w14:textFill>
            <w14:solidFill>
              <w14:schemeClr w14:val="tx1"/>
            </w14:solidFill>
          </w14:textFill>
        </w:rPr>
      </w:pPr>
    </w:p>
    <w:p w14:paraId="4095D0C5">
      <w:pPr>
        <w:spacing w:line="242"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35905" cy="4852035"/>
            <wp:effectExtent l="0" t="0" r="17145" b="571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6"/>
                    <a:stretch>
                      <a:fillRect/>
                    </a:stretch>
                  </pic:blipFill>
                  <pic:spPr>
                    <a:xfrm>
                      <a:off x="0" y="0"/>
                      <a:ext cx="5335905" cy="4852035"/>
                    </a:xfrm>
                    <a:prstGeom prst="rect">
                      <a:avLst/>
                    </a:prstGeom>
                    <a:noFill/>
                    <a:ln>
                      <a:noFill/>
                    </a:ln>
                  </pic:spPr>
                </pic:pic>
              </a:graphicData>
            </a:graphic>
          </wp:inline>
        </w:drawing>
      </w:r>
    </w:p>
    <w:p w14:paraId="7D0400EC">
      <w:pPr>
        <w:spacing w:line="242"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39080" cy="4137025"/>
            <wp:effectExtent l="0" t="0" r="13970" b="1587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7"/>
                    <a:stretch>
                      <a:fillRect/>
                    </a:stretch>
                  </pic:blipFill>
                  <pic:spPr>
                    <a:xfrm>
                      <a:off x="0" y="0"/>
                      <a:ext cx="5339080" cy="4137025"/>
                    </a:xfrm>
                    <a:prstGeom prst="rect">
                      <a:avLst/>
                    </a:prstGeom>
                    <a:noFill/>
                    <a:ln>
                      <a:noFill/>
                    </a:ln>
                  </pic:spPr>
                </pic:pic>
              </a:graphicData>
            </a:graphic>
          </wp:inline>
        </w:drawing>
      </w:r>
    </w:p>
    <w:p w14:paraId="6FF52C27">
      <w:pPr>
        <w:spacing w:line="242" w:lineRule="auto"/>
        <w:rPr>
          <w:color w:val="000000" w:themeColor="text1"/>
          <w14:textFill>
            <w14:solidFill>
              <w14:schemeClr w14:val="tx1"/>
            </w14:solidFill>
          </w14:textFill>
        </w:rPr>
      </w:pPr>
    </w:p>
    <w:p w14:paraId="16FD221A">
      <w:pPr>
        <w:spacing w:line="242" w:lineRule="auto"/>
        <w:rPr>
          <w:color w:val="000000" w:themeColor="text1"/>
          <w14:textFill>
            <w14:solidFill>
              <w14:schemeClr w14:val="tx1"/>
            </w14:solidFill>
          </w14:textFill>
        </w:rPr>
      </w:pPr>
    </w:p>
    <w:p w14:paraId="0C9AC686">
      <w:pPr>
        <w:spacing w:line="242" w:lineRule="auto"/>
        <w:rPr>
          <w:color w:val="000000" w:themeColor="text1"/>
          <w14:textFill>
            <w14:solidFill>
              <w14:schemeClr w14:val="tx1"/>
            </w14:solidFill>
          </w14:textFill>
        </w:rPr>
      </w:pPr>
    </w:p>
    <w:p w14:paraId="32452831">
      <w:pPr>
        <w:spacing w:line="242" w:lineRule="auto"/>
        <w:rPr>
          <w:color w:val="000000" w:themeColor="text1"/>
          <w14:textFill>
            <w14:solidFill>
              <w14:schemeClr w14:val="tx1"/>
            </w14:solidFill>
          </w14:textFill>
        </w:rPr>
      </w:pPr>
    </w:p>
    <w:p w14:paraId="3199D44F">
      <w:pPr>
        <w:spacing w:line="242" w:lineRule="auto"/>
        <w:rPr>
          <w:color w:val="000000" w:themeColor="text1"/>
          <w14:textFill>
            <w14:solidFill>
              <w14:schemeClr w14:val="tx1"/>
            </w14:solidFill>
          </w14:textFill>
        </w:rPr>
      </w:pPr>
      <w:r>
        <w:drawing>
          <wp:inline distT="0" distB="0" distL="0" distR="0">
            <wp:extent cx="5653405" cy="8729980"/>
            <wp:effectExtent l="0" t="0" r="4445" b="0"/>
            <wp:docPr id="1143949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4937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57148" cy="8735735"/>
                    </a:xfrm>
                    <a:prstGeom prst="rect">
                      <a:avLst/>
                    </a:prstGeom>
                    <a:noFill/>
                    <a:ln>
                      <a:noFill/>
                    </a:ln>
                  </pic:spPr>
                </pic:pic>
              </a:graphicData>
            </a:graphic>
          </wp:inline>
        </w:drawing>
      </w:r>
    </w:p>
    <w:p w14:paraId="2EAEA63B">
      <w:pPr>
        <w:spacing w:line="242" w:lineRule="auto"/>
        <w:rPr>
          <w:color w:val="000000" w:themeColor="text1"/>
          <w14:textFill>
            <w14:solidFill>
              <w14:schemeClr w14:val="tx1"/>
            </w14:solidFill>
          </w14:textFill>
        </w:rPr>
      </w:pPr>
    </w:p>
    <w:p w14:paraId="4DEBEFA9">
      <w:pPr>
        <w:spacing w:line="242"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17490" cy="7886700"/>
            <wp:effectExtent l="0" t="0" r="16510" b="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9"/>
                    <a:stretch>
                      <a:fillRect/>
                    </a:stretch>
                  </pic:blipFill>
                  <pic:spPr>
                    <a:xfrm>
                      <a:off x="0" y="0"/>
                      <a:ext cx="5317490" cy="7886700"/>
                    </a:xfrm>
                    <a:prstGeom prst="rect">
                      <a:avLst/>
                    </a:prstGeom>
                    <a:noFill/>
                    <a:ln>
                      <a:noFill/>
                    </a:ln>
                  </pic:spPr>
                </pic:pic>
              </a:graphicData>
            </a:graphic>
          </wp:inline>
        </w:drawing>
      </w:r>
    </w:p>
    <w:p w14:paraId="52823B72">
      <w:pPr>
        <w:spacing w:line="242" w:lineRule="auto"/>
        <w:rPr>
          <w:rFonts w:eastAsia="宋体"/>
          <w:b/>
          <w:bCs/>
          <w:color w:val="000000" w:themeColor="text1"/>
          <w:sz w:val="28"/>
          <w:szCs w:val="28"/>
          <w:lang w:eastAsia="zh-CN"/>
          <w14:textFill>
            <w14:solidFill>
              <w14:schemeClr w14:val="tx1"/>
            </w14:solidFill>
          </w14:textFill>
        </w:rPr>
      </w:pPr>
    </w:p>
    <w:p w14:paraId="0A36FBF6">
      <w:pPr>
        <w:spacing w:line="242" w:lineRule="auto"/>
        <w:rPr>
          <w:rFonts w:eastAsia="宋体"/>
          <w:b/>
          <w:bCs/>
          <w:color w:val="000000" w:themeColor="text1"/>
          <w:sz w:val="28"/>
          <w:szCs w:val="28"/>
          <w:lang w:eastAsia="zh-CN"/>
          <w14:textFill>
            <w14:solidFill>
              <w14:schemeClr w14:val="tx1"/>
            </w14:solidFill>
          </w14:textFill>
        </w:rPr>
      </w:pPr>
    </w:p>
    <w:p w14:paraId="366C5B39">
      <w:pPr>
        <w:spacing w:line="242" w:lineRule="auto"/>
        <w:rPr>
          <w:rFonts w:eastAsia="宋体"/>
          <w:b/>
          <w:bCs/>
          <w:color w:val="000000" w:themeColor="text1"/>
          <w:sz w:val="28"/>
          <w:szCs w:val="28"/>
          <w:lang w:eastAsia="zh-CN"/>
          <w14:textFill>
            <w14:solidFill>
              <w14:schemeClr w14:val="tx1"/>
            </w14:solidFill>
          </w14:textFill>
        </w:rPr>
      </w:pPr>
    </w:p>
    <w:sectPr>
      <w:pgSz w:w="11906" w:h="16839"/>
      <w:pgMar w:top="1429" w:right="1712" w:bottom="1429" w:left="1786" w:header="0" w:footer="0" w:gutter="85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80"/>
    <w:rsid w:val="00004F86"/>
    <w:rsid w:val="000C131D"/>
    <w:rsid w:val="0027092A"/>
    <w:rsid w:val="00286780"/>
    <w:rsid w:val="00780AD1"/>
    <w:rsid w:val="00975400"/>
    <w:rsid w:val="00A8662E"/>
    <w:rsid w:val="00E4048A"/>
    <w:rsid w:val="00E462AD"/>
    <w:rsid w:val="00EA045A"/>
    <w:rsid w:val="015B4120"/>
    <w:rsid w:val="017B5AF3"/>
    <w:rsid w:val="048E122E"/>
    <w:rsid w:val="04B36EE7"/>
    <w:rsid w:val="05816FE5"/>
    <w:rsid w:val="07BE1E2B"/>
    <w:rsid w:val="099C5922"/>
    <w:rsid w:val="0A58099F"/>
    <w:rsid w:val="0A83110A"/>
    <w:rsid w:val="0B7E3170"/>
    <w:rsid w:val="0B96405F"/>
    <w:rsid w:val="0D1B387B"/>
    <w:rsid w:val="0E055F3B"/>
    <w:rsid w:val="0EB7642B"/>
    <w:rsid w:val="0F2A5FF8"/>
    <w:rsid w:val="0F454863"/>
    <w:rsid w:val="0F56503F"/>
    <w:rsid w:val="0F962BDC"/>
    <w:rsid w:val="105E41AB"/>
    <w:rsid w:val="108904B2"/>
    <w:rsid w:val="117B6D69"/>
    <w:rsid w:val="118934A9"/>
    <w:rsid w:val="118B5473"/>
    <w:rsid w:val="12191256"/>
    <w:rsid w:val="12E80675"/>
    <w:rsid w:val="12FD414F"/>
    <w:rsid w:val="1393060F"/>
    <w:rsid w:val="13AB3BAB"/>
    <w:rsid w:val="143040B0"/>
    <w:rsid w:val="15370FBD"/>
    <w:rsid w:val="154566B4"/>
    <w:rsid w:val="15BB3E4D"/>
    <w:rsid w:val="16907088"/>
    <w:rsid w:val="16A36DBB"/>
    <w:rsid w:val="173914CE"/>
    <w:rsid w:val="178169D1"/>
    <w:rsid w:val="179B7A92"/>
    <w:rsid w:val="18147845"/>
    <w:rsid w:val="193F7295"/>
    <w:rsid w:val="196547FC"/>
    <w:rsid w:val="1A166D8F"/>
    <w:rsid w:val="1C3F7586"/>
    <w:rsid w:val="1CC5683F"/>
    <w:rsid w:val="1D2610E3"/>
    <w:rsid w:val="1D282803"/>
    <w:rsid w:val="1D742895"/>
    <w:rsid w:val="1D7C0366"/>
    <w:rsid w:val="1DD74DEA"/>
    <w:rsid w:val="1F170346"/>
    <w:rsid w:val="20A0436C"/>
    <w:rsid w:val="21C4472F"/>
    <w:rsid w:val="21DD6EFA"/>
    <w:rsid w:val="23963804"/>
    <w:rsid w:val="241A2687"/>
    <w:rsid w:val="2500362B"/>
    <w:rsid w:val="25BF1CF6"/>
    <w:rsid w:val="263F3EBB"/>
    <w:rsid w:val="26C91A9F"/>
    <w:rsid w:val="288A1B89"/>
    <w:rsid w:val="28B9246E"/>
    <w:rsid w:val="28CB5964"/>
    <w:rsid w:val="2A17569E"/>
    <w:rsid w:val="2A420242"/>
    <w:rsid w:val="2B0A0D5F"/>
    <w:rsid w:val="2B5C5333"/>
    <w:rsid w:val="2D2B3D46"/>
    <w:rsid w:val="2F744F03"/>
    <w:rsid w:val="2FF63FA8"/>
    <w:rsid w:val="30751371"/>
    <w:rsid w:val="31F52DF0"/>
    <w:rsid w:val="32FE34A2"/>
    <w:rsid w:val="335F3C12"/>
    <w:rsid w:val="34A42225"/>
    <w:rsid w:val="35471C15"/>
    <w:rsid w:val="36C546D4"/>
    <w:rsid w:val="371D006C"/>
    <w:rsid w:val="3756466D"/>
    <w:rsid w:val="38BF587F"/>
    <w:rsid w:val="392D7F4A"/>
    <w:rsid w:val="3A6C5593"/>
    <w:rsid w:val="3AF968DD"/>
    <w:rsid w:val="3B620744"/>
    <w:rsid w:val="3C736028"/>
    <w:rsid w:val="3CB234E3"/>
    <w:rsid w:val="3DA05553"/>
    <w:rsid w:val="3F147FA7"/>
    <w:rsid w:val="3F7D4D06"/>
    <w:rsid w:val="3FA8056D"/>
    <w:rsid w:val="409A272E"/>
    <w:rsid w:val="41C83A99"/>
    <w:rsid w:val="42B51AA1"/>
    <w:rsid w:val="452D1DC2"/>
    <w:rsid w:val="466E72B3"/>
    <w:rsid w:val="46E44703"/>
    <w:rsid w:val="472F66E6"/>
    <w:rsid w:val="495F62C2"/>
    <w:rsid w:val="4AD131F0"/>
    <w:rsid w:val="4AD14F9E"/>
    <w:rsid w:val="4B5A7CCA"/>
    <w:rsid w:val="4B902C1C"/>
    <w:rsid w:val="4B9A23F7"/>
    <w:rsid w:val="4BC33571"/>
    <w:rsid w:val="4D113B64"/>
    <w:rsid w:val="4D6E7892"/>
    <w:rsid w:val="4DE600C1"/>
    <w:rsid w:val="4EAF1A9A"/>
    <w:rsid w:val="4F7D3946"/>
    <w:rsid w:val="501F6AB3"/>
    <w:rsid w:val="5268443A"/>
    <w:rsid w:val="529B6710"/>
    <w:rsid w:val="5579695E"/>
    <w:rsid w:val="57811AFA"/>
    <w:rsid w:val="57AE6783"/>
    <w:rsid w:val="57F86260"/>
    <w:rsid w:val="581F37ED"/>
    <w:rsid w:val="596B5FF7"/>
    <w:rsid w:val="59EF1151"/>
    <w:rsid w:val="5AC42429"/>
    <w:rsid w:val="5ADD34EB"/>
    <w:rsid w:val="5C1D44E7"/>
    <w:rsid w:val="5DBB5D65"/>
    <w:rsid w:val="5DC7295C"/>
    <w:rsid w:val="5DF60936"/>
    <w:rsid w:val="5DFC012C"/>
    <w:rsid w:val="5E113BD7"/>
    <w:rsid w:val="5F781A34"/>
    <w:rsid w:val="612504A2"/>
    <w:rsid w:val="614D13CA"/>
    <w:rsid w:val="62743F91"/>
    <w:rsid w:val="62B92A90"/>
    <w:rsid w:val="637349EC"/>
    <w:rsid w:val="63F463A5"/>
    <w:rsid w:val="648C045C"/>
    <w:rsid w:val="655775DB"/>
    <w:rsid w:val="65CE23AE"/>
    <w:rsid w:val="65E240AB"/>
    <w:rsid w:val="66F127F8"/>
    <w:rsid w:val="67116BC2"/>
    <w:rsid w:val="67F02AB0"/>
    <w:rsid w:val="681772E4"/>
    <w:rsid w:val="685748DD"/>
    <w:rsid w:val="68B1654A"/>
    <w:rsid w:val="6BE91CF0"/>
    <w:rsid w:val="6C156F89"/>
    <w:rsid w:val="6C8E6D3B"/>
    <w:rsid w:val="6CD26C28"/>
    <w:rsid w:val="6E02353D"/>
    <w:rsid w:val="6E315BD0"/>
    <w:rsid w:val="6F3E67F6"/>
    <w:rsid w:val="70AB1C6A"/>
    <w:rsid w:val="71025602"/>
    <w:rsid w:val="71655E16"/>
    <w:rsid w:val="717534EC"/>
    <w:rsid w:val="71BE59CD"/>
    <w:rsid w:val="71FB09CF"/>
    <w:rsid w:val="721F6E5B"/>
    <w:rsid w:val="73742238"/>
    <w:rsid w:val="741B7106"/>
    <w:rsid w:val="74E120FE"/>
    <w:rsid w:val="76E063E5"/>
    <w:rsid w:val="77385865"/>
    <w:rsid w:val="77530965"/>
    <w:rsid w:val="77935205"/>
    <w:rsid w:val="7876454E"/>
    <w:rsid w:val="79872B48"/>
    <w:rsid w:val="79A27982"/>
    <w:rsid w:val="7B061E2A"/>
    <w:rsid w:val="7BBD0AA3"/>
    <w:rsid w:val="7C4116D4"/>
    <w:rsid w:val="7C4E2B07"/>
    <w:rsid w:val="7C541407"/>
    <w:rsid w:val="7C66113B"/>
    <w:rsid w:val="7E8B30DA"/>
    <w:rsid w:val="7F162C5F"/>
    <w:rsid w:val="7F89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Body Text Indent 2"/>
    <w:basedOn w:val="1"/>
    <w:next w:val="1"/>
    <w:unhideWhenUsed/>
    <w:qFormat/>
    <w:uiPriority w:val="0"/>
    <w:pPr>
      <w:spacing w:after="120" w:line="480" w:lineRule="auto"/>
      <w:ind w:left="420" w:leftChars="200"/>
    </w:p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61"/>
    <w:basedOn w:val="7"/>
    <w:qFormat/>
    <w:uiPriority w:val="0"/>
    <w:rPr>
      <w:rFonts w:hint="default" w:ascii="Arial" w:hAnsi="Arial" w:cs="Arial"/>
      <w:color w:val="FF0000"/>
      <w:sz w:val="22"/>
      <w:szCs w:val="22"/>
      <w:u w:val="none"/>
    </w:rPr>
  </w:style>
  <w:style w:type="character" w:customStyle="1" w:styleId="10">
    <w:name w:val="font21"/>
    <w:basedOn w:val="7"/>
    <w:qFormat/>
    <w:uiPriority w:val="0"/>
    <w:rPr>
      <w:rFonts w:hint="default" w:ascii="Times New Roman" w:hAnsi="Times New Roman" w:cs="Times New Roman"/>
      <w:b/>
      <w:bCs/>
      <w:color w:val="000000"/>
      <w:sz w:val="22"/>
      <w:szCs w:val="22"/>
      <w:u w:val="none"/>
    </w:rPr>
  </w:style>
  <w:style w:type="character" w:customStyle="1" w:styleId="11">
    <w:name w:val="font31"/>
    <w:basedOn w:val="7"/>
    <w:qFormat/>
    <w:uiPriority w:val="0"/>
    <w:rPr>
      <w:rFonts w:hint="eastAsia" w:ascii="宋体" w:hAnsi="宋体" w:eastAsia="宋体" w:cs="宋体"/>
      <w:b/>
      <w:bCs/>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1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1783</Words>
  <Characters>1887</Characters>
  <Lines>13</Lines>
  <Paragraphs>3</Paragraphs>
  <TotalTime>11</TotalTime>
  <ScaleCrop>false</ScaleCrop>
  <LinksUpToDate>false</LinksUpToDate>
  <CharactersWithSpaces>1895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2026-04-01T07:30:00Z</dcterms:created>
  <dc:creator>Administrator</dc:creator>
  <cp:lastModifiedBy>周丽丽(500694)</cp:lastModifiedBy>
  <cp:lastPrinted>2024-12-17T07:41:00Z</cp:lastPrinted>
  <dcterms:modified xsi:type="dcterms:W3CDTF">2026-04-01T08:57:50Z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2024-11-29T15:22:48Z</vt:filetime>
  </property>
  <property fmtid="{D5CDD505-2E9C-101B-9397-08002B2CF9AE}" pid="4" name="KSOProductBuildVer">
    <vt:lpwstr>2052-12.1.0.23542</vt:lpwstr>
  </property>
  <property fmtid="{D5CDD505-2E9C-101B-9397-08002B2CF9AE}" pid="5" name="ICV">
    <vt:lpwstr>B1B5B54CFC4E4DC0A3FC274B0D8C2788_13</vt:lpwstr>
  </property>
  <property fmtid="{D5CDD505-2E9C-101B-9397-08002B2CF9AE}" pid="6" name="KSOTemplateDocerSaveRecord">
    <vt:lpwstr>eyJoZGlkIjoiNTcyZmY3OWM4MDRlOTkzYzViMmZmZmQ1MDFkMzYxZDQiLCJ1c2VySWQiOiI4NjIwNzcwOTAifQ==</vt:lpwstr>
  </property>
</Properties>
</file>