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仿宋_GB2312"/>
          <w:kern w:val="2"/>
          <w:sz w:val="32"/>
          <w:szCs w:val="32"/>
          <w:lang w:val="en-US" w:eastAsia="zh-CN" w:bidi="ar-SA"/>
        </w:rPr>
      </w:pPr>
      <w:bookmarkStart w:id="0" w:name="_GoBack"/>
      <w:bookmarkEnd w:id="0"/>
      <w:r>
        <w:rPr>
          <w:rFonts w:hint="eastAsia" w:ascii="黑体" w:hAnsi="黑体" w:eastAsia="黑体" w:cs="仿宋_GB2312"/>
          <w:kern w:val="2"/>
          <w:sz w:val="32"/>
          <w:szCs w:val="32"/>
          <w:lang w:val="en-US" w:eastAsia="zh-CN" w:bidi="ar-SA"/>
        </w:rPr>
        <w:t>单位名称（公章）：</w:t>
      </w:r>
    </w:p>
    <w:p>
      <w:pPr>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联系人及联系方式：</w:t>
      </w:r>
    </w:p>
    <w:p>
      <w:pPr>
        <w:rPr>
          <w:rFonts w:hint="eastAsia" w:ascii="黑体" w:hAnsi="黑体" w:eastAsia="黑体" w:cs="仿宋_GB2312"/>
          <w:kern w:val="2"/>
          <w:sz w:val="32"/>
          <w:szCs w:val="32"/>
          <w:lang w:val="en-US" w:eastAsia="zh-CN" w:bidi="ar-SA"/>
        </w:rPr>
      </w:pPr>
    </w:p>
    <w:p>
      <w:pPr>
        <w:pStyle w:val="2"/>
        <w:numPr>
          <w:ilvl w:val="0"/>
          <w:numId w:val="0"/>
        </w:numPr>
        <w:ind w:left="638" w:leftChars="304" w:firstLine="0" w:firstLineChars="0"/>
        <w:rPr>
          <w:rFonts w:hint="default"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一、项目名称：</w:t>
      </w:r>
      <w:r>
        <w:rPr>
          <w:rFonts w:hint="eastAsia" w:ascii="仿宋" w:hAnsi="仿宋" w:eastAsia="仿宋" w:cs="仿宋"/>
          <w:kern w:val="2"/>
          <w:sz w:val="32"/>
          <w:szCs w:val="32"/>
          <w:lang w:val="en-US" w:eastAsia="zh-CN" w:bidi="ar-SA"/>
        </w:rPr>
        <w:t>安徽建筑大学网站内容安全监测系统</w:t>
      </w:r>
    </w:p>
    <w:p>
      <w:pPr>
        <w:pStyle w:val="2"/>
        <w:numPr>
          <w:ilvl w:val="0"/>
          <w:numId w:val="0"/>
        </w:numPr>
        <w:ind w:left="0" w:leftChars="0" w:firstLine="643" w:firstLineChars="200"/>
        <w:rPr>
          <w:rFonts w:hint="default" w:ascii="仿宋" w:hAnsi="仿宋" w:eastAsia="仿宋" w:cs="仿宋"/>
          <w:color w:val="000000"/>
          <w:kern w:val="2"/>
          <w:sz w:val="32"/>
          <w:szCs w:val="32"/>
          <w:lang w:val="en-US" w:eastAsia="zh-CN" w:bidi="ar-SA"/>
        </w:rPr>
      </w:pPr>
      <w:r>
        <w:rPr>
          <w:rFonts w:hint="eastAsia" w:ascii="仿宋" w:hAnsi="仿宋" w:eastAsia="仿宋" w:cs="仿宋"/>
          <w:b/>
          <w:bCs/>
          <w:kern w:val="2"/>
          <w:sz w:val="32"/>
          <w:szCs w:val="32"/>
          <w:lang w:val="en-US" w:eastAsia="zh-CN" w:bidi="ar-SA"/>
        </w:rPr>
        <w:t>二、预算金额：</w:t>
      </w:r>
      <w:r>
        <w:rPr>
          <w:rFonts w:hint="eastAsia" w:ascii="仿宋" w:hAnsi="仿宋" w:eastAsia="仿宋" w:cs="仿宋"/>
          <w:kern w:val="2"/>
          <w:sz w:val="32"/>
          <w:szCs w:val="32"/>
          <w:lang w:val="en-US" w:eastAsia="zh-CN" w:bidi="ar-SA"/>
        </w:rPr>
        <w:t>6万元，服务期为一年，服务期满后，经考核合格后，双方无异议可续签合同，最多续签两年，合同一年一签。</w:t>
      </w:r>
    </w:p>
    <w:p>
      <w:pPr>
        <w:pStyle w:val="2"/>
        <w:numPr>
          <w:ilvl w:val="0"/>
          <w:numId w:val="0"/>
        </w:numPr>
        <w:ind w:left="640" w:leftChars="0"/>
        <w:rPr>
          <w:rFonts w:hint="default"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三、项目概况：</w:t>
      </w:r>
    </w:p>
    <w:p>
      <w:pPr>
        <w:pStyle w:val="2"/>
        <w:numPr>
          <w:ilvl w:val="0"/>
          <w:numId w:val="0"/>
        </w:numPr>
        <w:ind w:left="0" w:leftChars="0" w:firstLine="640" w:firstLineChars="20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本次采购的网站内容安全监测系统，能够实现实时对安徽建筑大学目标网站进行内容监测和数据巡查预警。监测其内容是否存在不良、敏感信息；实时监测网站、站群是否存在外链、暗链、篡改、可用性、劫持、未知威胁等安全风险；实时监测网站敏感信息，监测政府网站是否泄漏国家密级信息；实时监测网站链接安全性筛查、境外IP链接筛查、无效地址诊断、页面关联分析。</w:t>
      </w:r>
    </w:p>
    <w:p>
      <w:pPr>
        <w:pStyle w:val="2"/>
        <w:numPr>
          <w:ilvl w:val="0"/>
          <w:numId w:val="0"/>
        </w:numPr>
        <w:ind w:left="640" w:leftChars="0"/>
        <w:rPr>
          <w:rFonts w:hint="default"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四、付款方式</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验收完成后一次性付款。</w:t>
      </w:r>
    </w:p>
    <w:p>
      <w:pPr>
        <w:pStyle w:val="2"/>
        <w:numPr>
          <w:ilvl w:val="0"/>
          <w:numId w:val="0"/>
        </w:numPr>
        <w:ind w:left="640" w:leftChars="0"/>
        <w:rPr>
          <w:rFonts w:hint="default"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五、服务范围及要求</w:t>
      </w:r>
    </w:p>
    <w:p>
      <w:pPr>
        <w:pStyle w:val="2"/>
        <w:numPr>
          <w:ilvl w:val="0"/>
          <w:numId w:val="0"/>
        </w:numPr>
        <w:ind w:leftChars="303"/>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（一）服务范围</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项目内容为安徽建筑大学网站内容安全监测的保障服</w:t>
      </w:r>
    </w:p>
    <w:p>
      <w:pPr>
        <w:pStyle w:val="2"/>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务，涉及学校主站及二类网站，服务范围为全校。</w:t>
      </w:r>
    </w:p>
    <w:p>
      <w:pPr>
        <w:numPr>
          <w:ilvl w:val="0"/>
          <w:numId w:val="1"/>
        </w:numPr>
        <w:ind w:left="638" w:leftChars="304" w:firstLine="0" w:firstLineChars="0"/>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服务总体要求</w:t>
      </w:r>
    </w:p>
    <w:p>
      <w:pPr>
        <w:pStyle w:val="2"/>
        <w:numPr>
          <w:ilvl w:val="0"/>
          <w:numId w:val="0"/>
        </w:numPr>
        <w:ind w:leftChars="303"/>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项目采购内容主要是内容安全监测以及人工审核取证</w:t>
      </w:r>
    </w:p>
    <w:p>
      <w:pPr>
        <w:pStyle w:val="2"/>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w:t>
      </w:r>
    </w:p>
    <w:p>
      <w:pPr>
        <w:spacing w:line="360" w:lineRule="auto"/>
        <w:ind w:firstLine="56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1.内容安全监测</w:t>
      </w:r>
    </w:p>
    <w:p>
      <w:pPr>
        <w:spacing w:line="360" w:lineRule="auto"/>
        <w:ind w:firstLine="56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对业务系统网站站点进行全面而彻底的数据巡查和预警，具体建设内容如下：</w:t>
      </w:r>
    </w:p>
    <w:p>
      <w:pPr>
        <w:pStyle w:val="8"/>
        <w:numPr>
          <w:ilvl w:val="0"/>
          <w:numId w:val="0"/>
        </w:numPr>
        <w:spacing w:line="360" w:lineRule="auto"/>
        <w:ind w:left="566" w:leftChars="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（1）内容监测</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对监测目标内容进行监测，通过敏感词库匹配，对涉政、涉黄、涉赌、涉暴恐、博彩等敏感词进行监测识别，支持自定义敏感词库及错别字词库设置。</w:t>
      </w:r>
    </w:p>
    <w:p>
      <w:pPr>
        <w:pStyle w:val="8"/>
        <w:numPr>
          <w:ilvl w:val="0"/>
          <w:numId w:val="0"/>
        </w:numPr>
        <w:spacing w:line="360" w:lineRule="auto"/>
        <w:ind w:left="566" w:leftChars="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（2）外链监测</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对监测目标内容进行监测，通过对源代码中的超链接进行筛选、校验、分析，对网站可进行外链监测，监测网站是否被嵌入外链，发现网页中外链。</w:t>
      </w:r>
    </w:p>
    <w:p>
      <w:pPr>
        <w:pStyle w:val="8"/>
        <w:numPr>
          <w:ilvl w:val="0"/>
          <w:numId w:val="0"/>
        </w:numPr>
        <w:spacing w:line="360" w:lineRule="auto"/>
        <w:ind w:left="566" w:leftChars="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（3）自建敏感词库监测</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内建百万级敏感词库收录、违规标签，覆盖涉政、涉黄、暴恐、违法违规、不良价值观、领导人、英雄烈士、邪教迷信、敏感专项、旗帜党徽、信息诈骗、社工欺诈、恶意文件等，监测维度包括：文字、图片、声音、视频共4个维度；</w:t>
      </w:r>
    </w:p>
    <w:p>
      <w:pPr>
        <w:pStyle w:val="8"/>
        <w:numPr>
          <w:ilvl w:val="0"/>
          <w:numId w:val="0"/>
        </w:numPr>
        <w:spacing w:line="360" w:lineRule="auto"/>
        <w:ind w:left="566" w:leftChars="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（4）反共监测</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支持通过网络爬虫技术对境外反共黑客攻击篡改网站事件信息发布网站进行采集获取。</w:t>
      </w:r>
    </w:p>
    <w:p>
      <w:pPr>
        <w:pStyle w:val="8"/>
        <w:numPr>
          <w:ilvl w:val="0"/>
          <w:numId w:val="0"/>
        </w:numPr>
        <w:spacing w:line="360" w:lineRule="auto"/>
        <w:ind w:left="566" w:leftChars="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（5）涉党文献语录识别</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关于国家领导人的讲话摘录、党的文献、国家政策等长语句进行校对，识别漏字、错字、语句不统一等问题。</w:t>
      </w:r>
    </w:p>
    <w:p>
      <w:pPr>
        <w:pStyle w:val="8"/>
        <w:numPr>
          <w:ilvl w:val="0"/>
          <w:numId w:val="0"/>
        </w:numPr>
        <w:spacing w:line="360" w:lineRule="auto"/>
        <w:ind w:left="566" w:leftChars="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（6）同音字错误识别</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自动对同音但是字不同的文本进行识别，并提供改进意见。</w:t>
      </w:r>
    </w:p>
    <w:p>
      <w:pPr>
        <w:pStyle w:val="8"/>
        <w:numPr>
          <w:ilvl w:val="0"/>
          <w:numId w:val="0"/>
        </w:numPr>
        <w:spacing w:line="360" w:lineRule="auto"/>
        <w:ind w:left="566" w:leftChars="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（7）敏感词可视化定位</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在页面及源代码中标红闪烁显示错误所在位置，高亮纠错。</w:t>
      </w:r>
    </w:p>
    <w:p>
      <w:pPr>
        <w:pStyle w:val="8"/>
        <w:numPr>
          <w:ilvl w:val="0"/>
          <w:numId w:val="0"/>
        </w:numPr>
        <w:spacing w:line="360" w:lineRule="auto"/>
        <w:ind w:left="566" w:leftChars="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（8）暗链监测</w:t>
      </w:r>
    </w:p>
    <w:p>
      <w:pPr>
        <w:spacing w:line="360" w:lineRule="auto"/>
        <w:ind w:firstLine="56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通过机器学习等算法，对监测目标进行暗链监测，对源代码中超链接进行筛选、校验、分析，监测监测目标是否被嵌入暗链，发现网页中错链、坏链、异常友链。</w:t>
      </w:r>
    </w:p>
    <w:p>
      <w:pPr>
        <w:pStyle w:val="8"/>
        <w:numPr>
          <w:ilvl w:val="0"/>
          <w:numId w:val="0"/>
        </w:numPr>
        <w:spacing w:line="360" w:lineRule="auto"/>
        <w:ind w:left="566" w:leftChars="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（9）篡改监测</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基于自研的监测引擎提供扫描网页的篡改监控服务，通过远程实时监测目标网站页面的信息，采用对比技术与内容特征分析技术，如发现增加JS脚本、插入未知窗口、嵌入未知动画或增加未知内容等篡改行为，实时告警。</w:t>
      </w:r>
    </w:p>
    <w:p>
      <w:pPr>
        <w:pStyle w:val="8"/>
        <w:numPr>
          <w:ilvl w:val="0"/>
          <w:numId w:val="0"/>
        </w:numPr>
        <w:spacing w:line="360" w:lineRule="auto"/>
        <w:ind w:left="566" w:leftChars="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（10）劫持监测</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通过对网站进行网页内容劫持等监测，提前做好网站防护工作，有效预防以及规避网站被劫持风险。</w:t>
      </w:r>
    </w:p>
    <w:p>
      <w:pPr>
        <w:pStyle w:val="8"/>
        <w:numPr>
          <w:ilvl w:val="0"/>
          <w:numId w:val="0"/>
        </w:numPr>
        <w:spacing w:line="360" w:lineRule="auto"/>
        <w:ind w:left="566" w:leftChars="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（11）未知威胁监测</w:t>
      </w:r>
    </w:p>
    <w:p>
      <w:pPr>
        <w:spacing w:line="360" w:lineRule="auto"/>
        <w:ind w:firstLine="56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可监测通过网页访问进入网站的未知病毒及恶意软件，提前做好网站防护工作，有效预防以及规避网站被未知威胁带来的风险。</w:t>
      </w:r>
    </w:p>
    <w:p>
      <w:pPr>
        <w:pStyle w:val="8"/>
        <w:numPr>
          <w:ilvl w:val="0"/>
          <w:numId w:val="0"/>
        </w:numPr>
        <w:spacing w:line="360" w:lineRule="auto"/>
        <w:ind w:left="566" w:leftChars="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（12）统计查询功能</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支持按日、按周查询不良信息。支持批量导出不良信息，主要包含：违规域名、违规URL、内链/外链、违规信息类型、违规摘要、举证存放链接、网站名称、网站备案号、网站所有者、解析指向的IP地址、IP地址归属、整改建议等信息。</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2.非法攻击监测</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能有效防止SQL注入、异常HTTP请求、Webshell后门请求、XSS跨站脚本、命令执行、代码执行、文件包含、文件注入、防篡改、防盗链、防扫描等Web攻击。要求具备安全漏洞平台的计算机软件著作权证书，提供证书扫描件或影印件。</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支持查看总攻击次数以及各种攻击类型的攻击次数。攻击类型包括：恶意扫描、XSS跨站、敏感文件访问、代码执行、文件包含、CC攻击、远程命令、SQL注入、Webshell、恶意采集、特殊攻击等。提供基于日志分析的CC攻击识别方法和设备的证书复印件或扫描件或影印件。</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3.端口防护</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要求能够对防护网站的非80端口可以自助配置,所有支持的http协议防护端口大于300个；https协议防护端口大于100个，提供管理平台自助设置的截图证明。</w:t>
      </w:r>
    </w:p>
    <w:p>
      <w:pPr>
        <w:spacing w:line="360" w:lineRule="auto"/>
        <w:ind w:firstLine="755" w:firstLineChars="23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4.人工审核取证</w:t>
      </w:r>
    </w:p>
    <w:p>
      <w:pPr>
        <w:spacing w:line="360" w:lineRule="auto"/>
        <w:ind w:firstLine="56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主要包含人工审核取证服务，系统将审计任务自动分配给后台审计人员，不同审计人员分配不同的审计记录，具备人工初审、复审功能。支持图片、文本、视频二级审核和质检，可查看不良结果列表和系统处理记录，并进行质检与打标，打标完成形成算法识别训练素材。</w:t>
      </w:r>
    </w:p>
    <w:p>
      <w:pPr>
        <w:spacing w:line="360" w:lineRule="auto"/>
        <w:ind w:firstLine="56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同时， 对于本次项目工作，成立专门的项目服务小组，投入包括内容监测、产品支持、技术专项支撑与内容审核专家在内的技术力量。工作的具体情况如下：</w:t>
      </w:r>
    </w:p>
    <w:p>
      <w:pPr>
        <w:spacing w:line="360" w:lineRule="auto"/>
        <w:ind w:firstLine="56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（1）项目组人员情况</w:t>
      </w:r>
    </w:p>
    <w:p>
      <w:pPr>
        <w:spacing w:line="360" w:lineRule="auto"/>
        <w:ind w:firstLine="56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项目组共计7人：</w:t>
      </w:r>
    </w:p>
    <w:p>
      <w:pPr>
        <w:spacing w:line="360" w:lineRule="auto"/>
        <w:ind w:firstLine="56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包括内容监测运营人员2人、产品专项支撑1人、技术专项支撑1人、内容审核专家3人在内的技术力量。</w:t>
      </w:r>
    </w:p>
    <w:p>
      <w:pPr>
        <w:spacing w:line="360" w:lineRule="auto"/>
        <w:ind w:firstLine="566"/>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（2）日常工作情况</w:t>
      </w:r>
    </w:p>
    <w:p>
      <w:pPr>
        <w:pStyle w:val="8"/>
        <w:numPr>
          <w:ilvl w:val="0"/>
          <w:numId w:val="0"/>
        </w:numPr>
        <w:spacing w:line="360" w:lineRule="auto"/>
        <w:ind w:left="566" w:leftChars="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具备技术运营支撑和巡检审核支撑；</w:t>
      </w:r>
    </w:p>
    <w:p>
      <w:pPr>
        <w:pStyle w:val="8"/>
        <w:numPr>
          <w:ilvl w:val="0"/>
          <w:numId w:val="0"/>
        </w:numPr>
        <w:spacing w:line="360" w:lineRule="auto"/>
        <w:ind w:left="566" w:leftChars="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周期性网站站点巡查，违规人审研判、取证告警；</w:t>
      </w:r>
    </w:p>
    <w:p>
      <w:pPr>
        <w:pStyle w:val="8"/>
        <w:numPr>
          <w:ilvl w:val="0"/>
          <w:numId w:val="0"/>
        </w:numPr>
        <w:spacing w:line="360" w:lineRule="auto"/>
        <w:ind w:left="566" w:leftChars="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专项培训：对以“二十大”、“建党百年”等类似关键事件节点进行专项培训和事件巡查。</w:t>
      </w:r>
    </w:p>
    <w:p>
      <w:pPr>
        <w:spacing w:line="360" w:lineRule="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5.其他</w:t>
      </w:r>
    </w:p>
    <w:p>
      <w:pPr>
        <w:widowControl/>
        <w:spacing w:line="360" w:lineRule="auto"/>
        <w:ind w:firstLine="640" w:firstLineChars="200"/>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 xml:space="preserve">服务支持方式：正常的支持方式是通过电话、Email、远程终端进行；如校方提出需求，进行现场工作。 </w:t>
      </w:r>
    </w:p>
    <w:p>
      <w:pPr>
        <w:spacing w:line="360" w:lineRule="auto"/>
        <w:ind w:firstLine="640" w:firstLineChars="20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服务响应时间：正常情况下，每周一至周五，在接到故障申报后 4 小时内将提供故障处理的建议和方案。如周六周日遇重大问题，需配合接到故障申报后 6 小时内将提供故障处理的建议和方案。如果需要上门维护服务，将在 24 小时内提供远程或上门维修服务。</w:t>
      </w:r>
    </w:p>
    <w:p>
      <w:pPr>
        <w:spacing w:line="560" w:lineRule="exact"/>
        <w:ind w:firstLine="643" w:firstLineChars="200"/>
        <w:rPr>
          <w:rFonts w:hint="eastAsia" w:ascii="方正仿宋_GB2312" w:hAnsi="方正仿宋_GB2312" w:eastAsia="方正仿宋_GB2312" w:cs="方正仿宋_GB2312"/>
          <w:b/>
          <w:bCs/>
          <w:sz w:val="32"/>
          <w:szCs w:val="32"/>
        </w:rPr>
      </w:pPr>
      <w:r>
        <w:rPr>
          <w:rFonts w:hint="eastAsia" w:ascii="宋体" w:hAnsi="宋体" w:cs="宋体"/>
          <w:b/>
          <w:bCs/>
          <w:sz w:val="32"/>
          <w:szCs w:val="32"/>
        </w:rPr>
        <w:t>（三）</w:t>
      </w:r>
      <w:r>
        <w:rPr>
          <w:rFonts w:hint="eastAsia" w:ascii="方正仿宋_GB2312" w:hAnsi="方正仿宋_GB2312" w:eastAsia="方正仿宋_GB2312" w:cs="方正仿宋_GB2312"/>
          <w:b/>
          <w:bCs/>
          <w:sz w:val="32"/>
          <w:szCs w:val="32"/>
        </w:rPr>
        <w:t>人员配备及服务要求</w:t>
      </w:r>
    </w:p>
    <w:p>
      <w:pPr>
        <w:adjustRightInd w:val="0"/>
        <w:snapToGrid w:val="0"/>
        <w:spacing w:line="560" w:lineRule="exact"/>
        <w:ind w:firstLine="640" w:firstLineChars="200"/>
        <w:rPr>
          <w:rFonts w:hint="eastAsia" w:ascii="仿宋" w:hAnsi="仿宋" w:eastAsia="仿宋" w:cs="方正仿宋_GB2312"/>
          <w:b/>
          <w:bCs/>
          <w:sz w:val="32"/>
          <w:szCs w:val="32"/>
        </w:rPr>
      </w:pPr>
      <w:r>
        <w:rPr>
          <w:rFonts w:hint="eastAsia" w:ascii="仿宋" w:hAnsi="仿宋" w:eastAsia="仿宋" w:cs="方正仿宋_GB2312"/>
          <w:sz w:val="32"/>
          <w:szCs w:val="32"/>
        </w:rPr>
        <w:t>1</w:t>
      </w:r>
      <w:r>
        <w:rPr>
          <w:rFonts w:ascii="仿宋" w:hAnsi="仿宋" w:eastAsia="仿宋" w:cs="方正仿宋_GB2312"/>
          <w:sz w:val="32"/>
          <w:szCs w:val="32"/>
        </w:rPr>
        <w:t>.</w:t>
      </w:r>
      <w:r>
        <w:rPr>
          <w:rFonts w:hint="eastAsia" w:ascii="仿宋" w:hAnsi="仿宋" w:eastAsia="仿宋" w:cs="方正仿宋_GB2312"/>
          <w:sz w:val="32"/>
          <w:szCs w:val="32"/>
        </w:rPr>
        <w:t>投标人根据必须为本项目配备相关专业人员</w:t>
      </w:r>
      <w:r>
        <w:rPr>
          <w:rFonts w:hint="eastAsia" w:ascii="仿宋" w:hAnsi="仿宋" w:eastAsia="仿宋" w:cs="方正仿宋_GB2312"/>
          <w:b/>
          <w:bCs/>
          <w:sz w:val="32"/>
          <w:szCs w:val="32"/>
        </w:rPr>
        <w:t>（基本配备人员不少于</w:t>
      </w:r>
      <w:r>
        <w:rPr>
          <w:rFonts w:hint="eastAsia" w:ascii="仿宋" w:hAnsi="仿宋" w:eastAsia="仿宋" w:cs="方正仿宋_GB2312"/>
          <w:b/>
          <w:bCs/>
          <w:sz w:val="32"/>
          <w:szCs w:val="32"/>
          <w:u w:val="single"/>
        </w:rPr>
        <w:t xml:space="preserve">   </w:t>
      </w:r>
      <w:r>
        <w:rPr>
          <w:rFonts w:hint="eastAsia" w:ascii="仿宋" w:hAnsi="仿宋" w:eastAsia="仿宋" w:cs="方正仿宋_GB2312"/>
          <w:b/>
          <w:bCs/>
          <w:sz w:val="32"/>
          <w:szCs w:val="32"/>
        </w:rPr>
        <w:t>人）：</w:t>
      </w:r>
      <w:r>
        <w:rPr>
          <w:rFonts w:hint="eastAsia" w:ascii="仿宋" w:hAnsi="仿宋" w:eastAsia="仿宋" w:cs="仿宋"/>
          <w:b/>
          <w:bCs/>
          <w:sz w:val="32"/>
          <w:szCs w:val="32"/>
        </w:rPr>
        <w:t>【请</w:t>
      </w:r>
      <w:r>
        <w:rPr>
          <w:rFonts w:hint="eastAsia" w:ascii="仿宋" w:hAnsi="仿宋" w:eastAsia="仿宋" w:cs="仿宋"/>
          <w:b/>
          <w:bCs/>
          <w:sz w:val="32"/>
          <w:szCs w:val="32"/>
          <w:lang w:val="en-US" w:eastAsia="zh-CN"/>
        </w:rPr>
        <w:t>各</w:t>
      </w:r>
      <w:r>
        <w:rPr>
          <w:rFonts w:hint="eastAsia" w:ascii="仿宋" w:hAnsi="仿宋" w:eastAsia="仿宋" w:cs="仿宋"/>
          <w:b/>
          <w:bCs/>
          <w:sz w:val="32"/>
          <w:szCs w:val="32"/>
        </w:rPr>
        <w:t>单位填写人员配备合理化建议】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588"/>
        <w:gridCol w:w="1365"/>
        <w:gridCol w:w="1529"/>
        <w:gridCol w:w="887"/>
        <w:gridCol w:w="1150"/>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84" w:type="dxa"/>
            <w:noWrap w:val="0"/>
            <w:vAlign w:val="center"/>
          </w:tcPr>
          <w:p>
            <w:pPr>
              <w:adjustRightInd w:val="0"/>
              <w:snapToGrid w:val="0"/>
              <w:spacing w:line="560" w:lineRule="exact"/>
              <w:jc w:val="center"/>
              <w:rPr>
                <w:rFonts w:hint="eastAsia" w:ascii="仿宋" w:hAnsi="仿宋" w:eastAsia="仿宋" w:cs="方正仿宋_GB2312"/>
                <w:b/>
                <w:bCs/>
                <w:sz w:val="32"/>
                <w:szCs w:val="32"/>
                <w:lang w:val="zh-CN"/>
              </w:rPr>
            </w:pPr>
            <w:r>
              <w:rPr>
                <w:rFonts w:hint="eastAsia" w:ascii="仿宋" w:hAnsi="仿宋" w:eastAsia="仿宋" w:cs="方正仿宋_GB2312"/>
                <w:b/>
                <w:bCs/>
                <w:sz w:val="32"/>
                <w:szCs w:val="32"/>
                <w:lang w:val="zh-CN"/>
              </w:rPr>
              <w:t>序号</w:t>
            </w:r>
          </w:p>
        </w:tc>
        <w:tc>
          <w:tcPr>
            <w:tcW w:w="1662" w:type="dxa"/>
            <w:noWrap w:val="0"/>
            <w:vAlign w:val="center"/>
          </w:tcPr>
          <w:p>
            <w:pPr>
              <w:adjustRightInd w:val="0"/>
              <w:snapToGrid w:val="0"/>
              <w:spacing w:line="560" w:lineRule="exact"/>
              <w:jc w:val="center"/>
              <w:rPr>
                <w:rFonts w:hint="eastAsia" w:ascii="仿宋" w:hAnsi="仿宋" w:eastAsia="仿宋" w:cs="方正仿宋_GB2312"/>
                <w:b/>
                <w:bCs/>
                <w:sz w:val="32"/>
                <w:szCs w:val="32"/>
                <w:lang w:val="zh-CN"/>
              </w:rPr>
            </w:pPr>
            <w:r>
              <w:rPr>
                <w:rFonts w:hint="eastAsia" w:ascii="仿宋" w:hAnsi="仿宋" w:eastAsia="仿宋" w:cs="方正仿宋_GB2312"/>
                <w:b/>
                <w:bCs/>
                <w:sz w:val="32"/>
                <w:szCs w:val="32"/>
                <w:lang w:val="zh-CN"/>
              </w:rPr>
              <w:t>职务</w:t>
            </w:r>
          </w:p>
        </w:tc>
        <w:tc>
          <w:tcPr>
            <w:tcW w:w="1423" w:type="dxa"/>
            <w:noWrap w:val="0"/>
            <w:vAlign w:val="center"/>
          </w:tcPr>
          <w:p>
            <w:pPr>
              <w:adjustRightInd w:val="0"/>
              <w:snapToGrid w:val="0"/>
              <w:spacing w:line="560" w:lineRule="exact"/>
              <w:jc w:val="center"/>
              <w:rPr>
                <w:rFonts w:hint="eastAsia" w:ascii="仿宋" w:hAnsi="仿宋" w:eastAsia="仿宋" w:cs="方正仿宋_GB2312"/>
                <w:b/>
                <w:bCs/>
                <w:sz w:val="32"/>
                <w:szCs w:val="32"/>
                <w:lang w:val="zh-CN"/>
              </w:rPr>
            </w:pPr>
            <w:r>
              <w:rPr>
                <w:rFonts w:hint="eastAsia" w:ascii="仿宋" w:hAnsi="仿宋" w:eastAsia="仿宋" w:cs="方正仿宋_GB2312"/>
                <w:b/>
                <w:bCs/>
                <w:sz w:val="32"/>
                <w:szCs w:val="32"/>
                <w:lang w:val="zh-CN"/>
              </w:rPr>
              <w:t>基本配备人数</w:t>
            </w:r>
          </w:p>
        </w:tc>
        <w:tc>
          <w:tcPr>
            <w:tcW w:w="1599" w:type="dxa"/>
            <w:noWrap w:val="0"/>
            <w:vAlign w:val="center"/>
          </w:tcPr>
          <w:p>
            <w:pPr>
              <w:adjustRightInd w:val="0"/>
              <w:snapToGrid w:val="0"/>
              <w:spacing w:line="560" w:lineRule="exact"/>
              <w:jc w:val="center"/>
              <w:rPr>
                <w:rFonts w:hint="eastAsia" w:ascii="仿宋" w:hAnsi="仿宋" w:eastAsia="仿宋" w:cs="方正仿宋_GB2312"/>
                <w:b/>
                <w:bCs/>
                <w:sz w:val="32"/>
                <w:szCs w:val="32"/>
                <w:lang w:val="zh-CN"/>
              </w:rPr>
            </w:pPr>
            <w:r>
              <w:rPr>
                <w:rFonts w:hint="eastAsia" w:ascii="仿宋" w:hAnsi="仿宋" w:eastAsia="仿宋" w:cs="方正仿宋_GB2312"/>
                <w:b/>
                <w:bCs/>
                <w:sz w:val="32"/>
                <w:szCs w:val="32"/>
                <w:lang w:val="zh-CN"/>
              </w:rPr>
              <w:t>注册证书</w:t>
            </w:r>
          </w:p>
        </w:tc>
        <w:tc>
          <w:tcPr>
            <w:tcW w:w="912" w:type="dxa"/>
            <w:noWrap w:val="0"/>
            <w:vAlign w:val="center"/>
          </w:tcPr>
          <w:p>
            <w:pPr>
              <w:adjustRightInd w:val="0"/>
              <w:snapToGrid w:val="0"/>
              <w:spacing w:line="560" w:lineRule="exact"/>
              <w:jc w:val="center"/>
              <w:rPr>
                <w:rFonts w:hint="eastAsia" w:ascii="仿宋" w:hAnsi="仿宋" w:eastAsia="仿宋" w:cs="方正仿宋_GB2312"/>
                <w:b/>
                <w:bCs/>
                <w:sz w:val="32"/>
                <w:szCs w:val="32"/>
                <w:lang w:val="zh-CN"/>
              </w:rPr>
            </w:pPr>
            <w:r>
              <w:rPr>
                <w:rFonts w:hint="eastAsia" w:ascii="仿宋" w:hAnsi="仿宋" w:eastAsia="仿宋" w:cs="方正仿宋_GB2312"/>
                <w:b/>
                <w:bCs/>
                <w:sz w:val="32"/>
                <w:szCs w:val="32"/>
                <w:lang w:val="zh-CN"/>
              </w:rPr>
              <w:t>专业</w:t>
            </w:r>
          </w:p>
        </w:tc>
        <w:tc>
          <w:tcPr>
            <w:tcW w:w="1192" w:type="dxa"/>
            <w:noWrap w:val="0"/>
            <w:vAlign w:val="center"/>
          </w:tcPr>
          <w:p>
            <w:pPr>
              <w:adjustRightInd w:val="0"/>
              <w:snapToGrid w:val="0"/>
              <w:spacing w:line="560" w:lineRule="exact"/>
              <w:jc w:val="center"/>
              <w:rPr>
                <w:rFonts w:hint="eastAsia" w:ascii="仿宋" w:hAnsi="仿宋" w:eastAsia="仿宋" w:cs="方正仿宋_GB2312"/>
                <w:b/>
                <w:bCs/>
                <w:sz w:val="32"/>
                <w:szCs w:val="32"/>
                <w:lang w:val="zh-CN"/>
              </w:rPr>
            </w:pPr>
            <w:r>
              <w:rPr>
                <w:rFonts w:hint="eastAsia" w:ascii="仿宋" w:hAnsi="仿宋" w:eastAsia="仿宋" w:cs="方正仿宋_GB2312"/>
                <w:b/>
                <w:bCs/>
                <w:sz w:val="32"/>
                <w:szCs w:val="32"/>
                <w:lang w:val="zh-CN"/>
              </w:rPr>
              <w:t>等级</w:t>
            </w:r>
          </w:p>
        </w:tc>
        <w:tc>
          <w:tcPr>
            <w:tcW w:w="1384" w:type="dxa"/>
            <w:noWrap w:val="0"/>
            <w:vAlign w:val="center"/>
          </w:tcPr>
          <w:p>
            <w:pPr>
              <w:adjustRightInd w:val="0"/>
              <w:snapToGrid w:val="0"/>
              <w:spacing w:line="560" w:lineRule="exact"/>
              <w:jc w:val="center"/>
              <w:rPr>
                <w:rFonts w:hint="eastAsia" w:ascii="仿宋" w:hAnsi="仿宋" w:eastAsia="仿宋" w:cs="方正仿宋_GB2312"/>
                <w:b/>
                <w:bCs/>
                <w:sz w:val="32"/>
                <w:szCs w:val="32"/>
                <w:lang w:val="zh-CN"/>
              </w:rPr>
            </w:pPr>
            <w:r>
              <w:rPr>
                <w:rFonts w:hint="eastAsia" w:ascii="仿宋" w:hAnsi="仿宋" w:eastAsia="仿宋" w:cs="方正仿宋_GB2312"/>
                <w:b/>
                <w:bCs/>
                <w:sz w:val="32"/>
                <w:szCs w:val="32"/>
                <w:lang w:val="zh-CN"/>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4" w:type="dxa"/>
            <w:noWrap w:val="0"/>
            <w:vAlign w:val="center"/>
          </w:tcPr>
          <w:p>
            <w:pPr>
              <w:adjustRightInd w:val="0"/>
              <w:snapToGrid w:val="0"/>
              <w:spacing w:line="560" w:lineRule="exact"/>
              <w:jc w:val="center"/>
              <w:rPr>
                <w:rFonts w:hint="eastAsia" w:ascii="仿宋" w:hAnsi="仿宋" w:eastAsia="仿宋" w:cs="方正仿宋_GB2312"/>
                <w:sz w:val="32"/>
                <w:szCs w:val="32"/>
              </w:rPr>
            </w:pPr>
            <w:r>
              <w:rPr>
                <w:rFonts w:hint="eastAsia" w:ascii="仿宋" w:hAnsi="仿宋" w:eastAsia="仿宋" w:cs="方正仿宋_GB2312"/>
                <w:sz w:val="32"/>
                <w:szCs w:val="32"/>
              </w:rPr>
              <w:t>1</w:t>
            </w:r>
          </w:p>
        </w:tc>
        <w:tc>
          <w:tcPr>
            <w:tcW w:w="1662"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1423" w:type="dxa"/>
            <w:noWrap w:val="0"/>
            <w:vAlign w:val="center"/>
          </w:tcPr>
          <w:p>
            <w:pPr>
              <w:adjustRightInd w:val="0"/>
              <w:snapToGrid w:val="0"/>
              <w:spacing w:line="560" w:lineRule="exact"/>
              <w:jc w:val="center"/>
              <w:rPr>
                <w:rFonts w:hint="eastAsia" w:ascii="仿宋" w:hAnsi="仿宋" w:eastAsia="仿宋" w:cs="方正仿宋_GB2312"/>
                <w:sz w:val="32"/>
                <w:szCs w:val="32"/>
              </w:rPr>
            </w:pPr>
          </w:p>
        </w:tc>
        <w:tc>
          <w:tcPr>
            <w:tcW w:w="1599"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912"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1192"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1384" w:type="dxa"/>
            <w:noWrap w:val="0"/>
            <w:vAlign w:val="center"/>
          </w:tcPr>
          <w:p>
            <w:pPr>
              <w:adjustRightInd w:val="0"/>
              <w:snapToGrid w:val="0"/>
              <w:spacing w:line="560" w:lineRule="exact"/>
              <w:jc w:val="center"/>
              <w:rPr>
                <w:rFonts w:hint="eastAsia" w:ascii="仿宋" w:hAnsi="仿宋" w:eastAsia="仿宋" w:cs="方正仿宋_GB2312"/>
                <w:sz w:val="32"/>
                <w:szCs w:val="32"/>
              </w:rPr>
            </w:pPr>
            <w:r>
              <w:rPr>
                <w:rFonts w:hint="eastAsia" w:ascii="仿宋" w:hAnsi="仿宋" w:eastAsia="仿宋" w:cs="方正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noWrap w:val="0"/>
            <w:vAlign w:val="center"/>
          </w:tcPr>
          <w:p>
            <w:pPr>
              <w:adjustRightInd w:val="0"/>
              <w:snapToGrid w:val="0"/>
              <w:spacing w:line="560" w:lineRule="exact"/>
              <w:jc w:val="center"/>
              <w:rPr>
                <w:rFonts w:hint="eastAsia" w:ascii="仿宋" w:hAnsi="仿宋" w:eastAsia="仿宋" w:cs="方正仿宋_GB2312"/>
                <w:sz w:val="32"/>
                <w:szCs w:val="32"/>
              </w:rPr>
            </w:pPr>
            <w:r>
              <w:rPr>
                <w:rFonts w:hint="eastAsia" w:ascii="仿宋" w:hAnsi="仿宋" w:eastAsia="仿宋" w:cs="方正仿宋_GB2312"/>
                <w:sz w:val="32"/>
                <w:szCs w:val="32"/>
              </w:rPr>
              <w:t>2</w:t>
            </w:r>
          </w:p>
        </w:tc>
        <w:tc>
          <w:tcPr>
            <w:tcW w:w="1662"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1423" w:type="dxa"/>
            <w:noWrap w:val="0"/>
            <w:vAlign w:val="center"/>
          </w:tcPr>
          <w:p>
            <w:pPr>
              <w:adjustRightInd w:val="0"/>
              <w:snapToGrid w:val="0"/>
              <w:spacing w:line="560" w:lineRule="exact"/>
              <w:jc w:val="center"/>
              <w:rPr>
                <w:rFonts w:hint="eastAsia" w:ascii="仿宋" w:hAnsi="仿宋" w:eastAsia="仿宋" w:cs="方正仿宋_GB2312"/>
                <w:sz w:val="32"/>
                <w:szCs w:val="32"/>
              </w:rPr>
            </w:pPr>
          </w:p>
        </w:tc>
        <w:tc>
          <w:tcPr>
            <w:tcW w:w="1599"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912"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1192"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1384"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r>
              <w:rPr>
                <w:rFonts w:hint="eastAsia" w:ascii="仿宋" w:hAnsi="仿宋" w:eastAsia="仿宋" w:cs="方正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noWrap w:val="0"/>
            <w:vAlign w:val="center"/>
          </w:tcPr>
          <w:p>
            <w:pPr>
              <w:adjustRightInd w:val="0"/>
              <w:snapToGrid w:val="0"/>
              <w:spacing w:line="560" w:lineRule="exact"/>
              <w:jc w:val="center"/>
              <w:rPr>
                <w:rFonts w:hint="eastAsia" w:ascii="仿宋" w:hAnsi="仿宋" w:eastAsia="仿宋" w:cs="方正仿宋_GB2312"/>
                <w:sz w:val="32"/>
                <w:szCs w:val="32"/>
              </w:rPr>
            </w:pPr>
          </w:p>
        </w:tc>
        <w:tc>
          <w:tcPr>
            <w:tcW w:w="1662"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1423" w:type="dxa"/>
            <w:noWrap w:val="0"/>
            <w:vAlign w:val="center"/>
          </w:tcPr>
          <w:p>
            <w:pPr>
              <w:adjustRightInd w:val="0"/>
              <w:snapToGrid w:val="0"/>
              <w:spacing w:line="560" w:lineRule="exact"/>
              <w:jc w:val="center"/>
              <w:rPr>
                <w:rFonts w:hint="eastAsia" w:ascii="仿宋" w:hAnsi="仿宋" w:eastAsia="仿宋" w:cs="方正仿宋_GB2312"/>
                <w:sz w:val="32"/>
                <w:szCs w:val="32"/>
              </w:rPr>
            </w:pPr>
          </w:p>
        </w:tc>
        <w:tc>
          <w:tcPr>
            <w:tcW w:w="1599"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912"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1192"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1384" w:type="dxa"/>
            <w:noWrap w:val="0"/>
            <w:vAlign w:val="center"/>
          </w:tcPr>
          <w:p>
            <w:pPr>
              <w:adjustRightInd w:val="0"/>
              <w:snapToGrid w:val="0"/>
              <w:spacing w:line="560" w:lineRule="exact"/>
              <w:jc w:val="center"/>
              <w:rPr>
                <w:rFonts w:hint="eastAsia" w:ascii="仿宋" w:hAnsi="仿宋" w:eastAsia="仿宋" w:cs="方正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noWrap w:val="0"/>
            <w:vAlign w:val="center"/>
          </w:tcPr>
          <w:p>
            <w:pPr>
              <w:adjustRightInd w:val="0"/>
              <w:snapToGrid w:val="0"/>
              <w:spacing w:line="560" w:lineRule="exact"/>
              <w:jc w:val="center"/>
              <w:rPr>
                <w:rFonts w:hint="eastAsia" w:ascii="仿宋" w:hAnsi="仿宋" w:eastAsia="仿宋" w:cs="方正仿宋_GB2312"/>
                <w:sz w:val="32"/>
                <w:szCs w:val="32"/>
              </w:rPr>
            </w:pPr>
          </w:p>
        </w:tc>
        <w:tc>
          <w:tcPr>
            <w:tcW w:w="1662"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1423" w:type="dxa"/>
            <w:noWrap w:val="0"/>
            <w:vAlign w:val="center"/>
          </w:tcPr>
          <w:p>
            <w:pPr>
              <w:adjustRightInd w:val="0"/>
              <w:snapToGrid w:val="0"/>
              <w:spacing w:line="560" w:lineRule="exact"/>
              <w:jc w:val="center"/>
              <w:rPr>
                <w:rFonts w:hint="eastAsia" w:ascii="仿宋" w:hAnsi="仿宋" w:eastAsia="仿宋" w:cs="方正仿宋_GB2312"/>
                <w:sz w:val="32"/>
                <w:szCs w:val="32"/>
              </w:rPr>
            </w:pPr>
          </w:p>
        </w:tc>
        <w:tc>
          <w:tcPr>
            <w:tcW w:w="1599"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912"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1192" w:type="dxa"/>
            <w:noWrap w:val="0"/>
            <w:vAlign w:val="center"/>
          </w:tcPr>
          <w:p>
            <w:pPr>
              <w:adjustRightInd w:val="0"/>
              <w:snapToGrid w:val="0"/>
              <w:spacing w:line="560" w:lineRule="exact"/>
              <w:jc w:val="center"/>
              <w:rPr>
                <w:rFonts w:hint="eastAsia" w:ascii="仿宋" w:hAnsi="仿宋" w:eastAsia="仿宋" w:cs="方正仿宋_GB2312"/>
                <w:sz w:val="32"/>
                <w:szCs w:val="32"/>
                <w:lang w:val="zh-CN"/>
              </w:rPr>
            </w:pPr>
          </w:p>
        </w:tc>
        <w:tc>
          <w:tcPr>
            <w:tcW w:w="1384" w:type="dxa"/>
            <w:noWrap w:val="0"/>
            <w:vAlign w:val="center"/>
          </w:tcPr>
          <w:p>
            <w:pPr>
              <w:adjustRightInd w:val="0"/>
              <w:snapToGrid w:val="0"/>
              <w:spacing w:line="560" w:lineRule="exact"/>
              <w:jc w:val="center"/>
              <w:rPr>
                <w:rFonts w:hint="eastAsia" w:ascii="仿宋" w:hAnsi="仿宋" w:eastAsia="仿宋" w:cs="方正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6" w:type="dxa"/>
            <w:gridSpan w:val="7"/>
            <w:noWrap w:val="0"/>
            <w:vAlign w:val="center"/>
          </w:tcPr>
          <w:p>
            <w:pPr>
              <w:adjustRightInd w:val="0"/>
              <w:snapToGrid w:val="0"/>
              <w:spacing w:line="560" w:lineRule="exact"/>
              <w:jc w:val="left"/>
              <w:rPr>
                <w:rFonts w:hint="eastAsia" w:ascii="仿宋" w:hAnsi="仿宋" w:eastAsia="仿宋" w:cs="方正仿宋_GB2312"/>
                <w:b/>
                <w:sz w:val="32"/>
                <w:szCs w:val="32"/>
              </w:rPr>
            </w:pPr>
            <w:r>
              <w:rPr>
                <w:rFonts w:hint="eastAsia" w:ascii="仿宋" w:hAnsi="仿宋" w:eastAsia="仿宋" w:cs="方正仿宋_GB2312"/>
                <w:b/>
                <w:sz w:val="32"/>
                <w:szCs w:val="32"/>
              </w:rPr>
              <w:t>注：</w:t>
            </w:r>
          </w:p>
          <w:p>
            <w:pPr>
              <w:adjustRightInd w:val="0"/>
              <w:snapToGrid w:val="0"/>
              <w:spacing w:line="560" w:lineRule="exact"/>
              <w:jc w:val="left"/>
              <w:rPr>
                <w:rFonts w:hint="eastAsia" w:ascii="仿宋" w:hAnsi="仿宋" w:eastAsia="仿宋" w:cs="方正仿宋_GB2312"/>
                <w:b/>
                <w:sz w:val="32"/>
                <w:szCs w:val="32"/>
              </w:rPr>
            </w:pPr>
            <w:r>
              <w:rPr>
                <w:rFonts w:hint="eastAsia" w:ascii="仿宋" w:hAnsi="仿宋" w:eastAsia="仿宋" w:cs="方正仿宋_GB2312"/>
                <w:b/>
                <w:sz w:val="32"/>
                <w:szCs w:val="32"/>
              </w:rPr>
              <w:t>1.人员必须分别设置，不得交叉任职。</w:t>
            </w:r>
          </w:p>
          <w:p>
            <w:pPr>
              <w:adjustRightInd w:val="0"/>
              <w:snapToGrid w:val="0"/>
              <w:spacing w:line="560" w:lineRule="exact"/>
              <w:jc w:val="left"/>
              <w:rPr>
                <w:rFonts w:hint="eastAsia" w:ascii="仿宋" w:hAnsi="仿宋" w:eastAsia="仿宋" w:cs="方正仿宋_GB2312"/>
                <w:sz w:val="32"/>
                <w:szCs w:val="32"/>
              </w:rPr>
            </w:pPr>
            <w:r>
              <w:rPr>
                <w:rFonts w:hint="eastAsia" w:ascii="仿宋" w:hAnsi="仿宋" w:eastAsia="仿宋" w:cs="方正仿宋_GB2312"/>
                <w:b/>
                <w:sz w:val="32"/>
                <w:szCs w:val="32"/>
              </w:rPr>
              <w:t>2.投标文件中须提供为本项目配备上述人员的证书及2024年1月1日以来，投标人为上述人员缴纳的任意连续3个月的社保证明材料（任意险种），否则作无效标处理。</w:t>
            </w:r>
          </w:p>
        </w:tc>
      </w:tr>
    </w:tbl>
    <w:p>
      <w:pPr>
        <w:spacing w:line="560" w:lineRule="exact"/>
        <w:ind w:firstLine="643" w:firstLineChars="200"/>
        <w:rPr>
          <w:rFonts w:hint="eastAsia" w:ascii="仿宋" w:hAnsi="仿宋" w:eastAsia="仿宋" w:cs="方正仿宋_GB2312"/>
          <w:b/>
          <w:bCs/>
          <w:sz w:val="32"/>
          <w:szCs w:val="32"/>
        </w:rPr>
      </w:pPr>
      <w:r>
        <w:rPr>
          <w:rFonts w:hint="eastAsia" w:ascii="仿宋" w:hAnsi="仿宋" w:eastAsia="仿宋" w:cs="方正仿宋_GB2312"/>
          <w:b/>
          <w:bCs/>
          <w:sz w:val="32"/>
          <w:szCs w:val="32"/>
        </w:rPr>
        <w:t>2</w:t>
      </w:r>
      <w:r>
        <w:rPr>
          <w:rFonts w:ascii="仿宋" w:hAnsi="仿宋" w:eastAsia="仿宋" w:cs="方正仿宋_GB2312"/>
          <w:b/>
          <w:bCs/>
          <w:sz w:val="32"/>
          <w:szCs w:val="32"/>
        </w:rPr>
        <w:t>.</w:t>
      </w:r>
      <w:r>
        <w:rPr>
          <w:rFonts w:hint="eastAsia" w:ascii="仿宋" w:hAnsi="仿宋" w:eastAsia="仿宋" w:cs="方正仿宋_GB2312"/>
          <w:b/>
          <w:bCs/>
          <w:sz w:val="32"/>
          <w:szCs w:val="32"/>
        </w:rPr>
        <w:t>投标人必须书面承诺，所配备的人员，能到现场服务，否则作无效标处理。投标人应根据项目情况，配备相关专业人员（填写人员配备表）。</w:t>
      </w:r>
    </w:p>
    <w:p>
      <w:pPr>
        <w:pStyle w:val="2"/>
        <w:rPr>
          <w:rFonts w:hint="eastAsia" w:ascii="宋体" w:hAnsi="宋体" w:cs="宋体" w:eastAsiaTheme="minorEastAsia"/>
          <w:b/>
          <w:bCs/>
          <w:kern w:val="2"/>
          <w:sz w:val="32"/>
          <w:szCs w:val="32"/>
          <w:lang w:val="en-US" w:eastAsia="zh-CN" w:bidi="ar-SA"/>
        </w:rPr>
      </w:pPr>
      <w:r>
        <w:rPr>
          <w:rFonts w:hint="eastAsia" w:ascii="宋体" w:hAnsi="宋体" w:cs="宋体" w:eastAsiaTheme="minorEastAsia"/>
          <w:b/>
          <w:bCs/>
          <w:kern w:val="2"/>
          <w:sz w:val="32"/>
          <w:szCs w:val="32"/>
          <w:lang w:val="en-US" w:eastAsia="zh-CN" w:bidi="ar-SA"/>
        </w:rPr>
        <w:t>（四）考核要求</w:t>
      </w:r>
    </w:p>
    <w:p>
      <w:pPr>
        <w:spacing w:line="360" w:lineRule="auto"/>
        <w:ind w:firstLine="640" w:firstLineChars="200"/>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按照招标文件中要求开展的维保服务项目进行考核。</w:t>
      </w:r>
    </w:p>
    <w:p>
      <w:pPr>
        <w:spacing w:line="560" w:lineRule="exact"/>
        <w:ind w:firstLine="643" w:firstLineChars="200"/>
        <w:rPr>
          <w:rFonts w:hint="eastAsia" w:ascii="仿宋" w:hAnsi="仿宋" w:eastAsia="仿宋" w:cs="方正仿宋_GB2312"/>
          <w:b/>
          <w:bCs/>
          <w:sz w:val="32"/>
          <w:szCs w:val="32"/>
        </w:rPr>
      </w:pPr>
      <w:r>
        <w:rPr>
          <w:rFonts w:hint="eastAsia" w:ascii="仿宋" w:hAnsi="仿宋" w:eastAsia="仿宋" w:cs="方正仿宋_GB2312"/>
          <w:b/>
          <w:bCs w:val="0"/>
          <w:sz w:val="32"/>
          <w:szCs w:val="32"/>
        </w:rPr>
        <w:t>六、商务部分调研</w:t>
      </w:r>
      <w:r>
        <w:rPr>
          <w:rFonts w:hint="eastAsia" w:ascii="仿宋" w:hAnsi="仿宋" w:eastAsia="仿宋" w:cs="仿宋"/>
          <w:b/>
          <w:bCs w:val="0"/>
          <w:sz w:val="32"/>
          <w:szCs w:val="32"/>
        </w:rPr>
        <w:t>【</w:t>
      </w:r>
      <w:r>
        <w:rPr>
          <w:rFonts w:hint="eastAsia" w:ascii="仿宋" w:hAnsi="仿宋" w:eastAsia="仿宋" w:cs="仿宋"/>
          <w:b/>
          <w:bCs w:val="0"/>
          <w:sz w:val="32"/>
          <w:szCs w:val="32"/>
          <w:lang w:val="en-US" w:eastAsia="zh-CN"/>
        </w:rPr>
        <w:t>各</w:t>
      </w:r>
      <w:r>
        <w:rPr>
          <w:rFonts w:hint="eastAsia" w:ascii="仿宋" w:hAnsi="仿宋" w:eastAsia="仿宋" w:cs="仿宋"/>
          <w:b/>
          <w:bCs w:val="0"/>
          <w:sz w:val="32"/>
          <w:szCs w:val="32"/>
        </w:rPr>
        <w:t>单</w:t>
      </w:r>
      <w:r>
        <w:rPr>
          <w:rFonts w:hint="eastAsia" w:ascii="仿宋" w:hAnsi="仿宋" w:eastAsia="仿宋" w:cs="仿宋"/>
          <w:b/>
          <w:bCs/>
          <w:sz w:val="32"/>
          <w:szCs w:val="32"/>
        </w:rPr>
        <w:t>位请根据本单位实际情况填写】</w:t>
      </w:r>
    </w:p>
    <w:p>
      <w:pPr>
        <w:spacing w:line="360" w:lineRule="auto"/>
        <w:ind w:firstLine="640" w:firstLineChars="200"/>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1.投标人综合实力</w:t>
      </w:r>
    </w:p>
    <w:p>
      <w:pPr>
        <w:pStyle w:val="2"/>
        <w:ind w:left="0" w:leftChars="0" w:firstLine="640" w:firstLineChars="0"/>
        <w:rPr>
          <w:rFonts w:hint="eastAsia" w:ascii="仿宋" w:hAnsi="仿宋" w:eastAsia="仿宋" w:cs="方正仿宋_GB2312"/>
          <w:sz w:val="32"/>
          <w:szCs w:val="32"/>
          <w:lang w:eastAsia="zh-CN"/>
        </w:rPr>
      </w:pPr>
      <w:r>
        <w:rPr>
          <w:rFonts w:hint="eastAsia" w:ascii="仿宋" w:hAnsi="仿宋" w:eastAsia="仿宋" w:cs="仿宋"/>
          <w:color w:val="000000"/>
          <w:kern w:val="2"/>
          <w:sz w:val="32"/>
          <w:szCs w:val="32"/>
          <w:lang w:val="en-US" w:eastAsia="zh-CN" w:bidi="ar-SA"/>
        </w:rPr>
        <w:t>自2021年1月1日以来，获得具有中国信息通信研究院颁发的云分发服务资质证书</w:t>
      </w:r>
      <w:r>
        <w:rPr>
          <w:rFonts w:hint="eastAsia" w:ascii="仿宋" w:hAnsi="仿宋" w:eastAsia="仿宋" w:cs="方正仿宋_GB2312"/>
          <w:sz w:val="32"/>
          <w:szCs w:val="32"/>
          <w:u w:val="single"/>
        </w:rPr>
        <w:t xml:space="preserve">      </w:t>
      </w:r>
      <w:r>
        <w:rPr>
          <w:rFonts w:hint="eastAsia" w:ascii="仿宋" w:hAnsi="仿宋" w:eastAsia="仿宋" w:cs="方正仿宋_GB2312"/>
          <w:sz w:val="32"/>
          <w:szCs w:val="32"/>
        </w:rPr>
        <w:t>个</w:t>
      </w:r>
      <w:r>
        <w:rPr>
          <w:rFonts w:hint="eastAsia" w:ascii="仿宋" w:hAnsi="仿宋" w:eastAsia="仿宋" w:cs="方正仿宋_GB2312"/>
          <w:sz w:val="32"/>
          <w:szCs w:val="32"/>
          <w:lang w:val="en-US" w:eastAsia="zh-CN"/>
        </w:rPr>
        <w:t>；获得中国信息通信研究院颁发的内容审核服务系统测试证书</w:t>
      </w:r>
      <w:r>
        <w:rPr>
          <w:rFonts w:hint="eastAsia" w:ascii="仿宋" w:hAnsi="仿宋" w:eastAsia="仿宋" w:cs="方正仿宋_GB2312"/>
          <w:sz w:val="32"/>
          <w:szCs w:val="32"/>
          <w:u w:val="single"/>
        </w:rPr>
        <w:t xml:space="preserve">      </w:t>
      </w:r>
      <w:r>
        <w:rPr>
          <w:rFonts w:hint="eastAsia" w:ascii="仿宋" w:hAnsi="仿宋" w:eastAsia="仿宋" w:cs="方正仿宋_GB2312"/>
          <w:sz w:val="32"/>
          <w:szCs w:val="32"/>
        </w:rPr>
        <w:t>个</w:t>
      </w:r>
      <w:r>
        <w:rPr>
          <w:rFonts w:hint="eastAsia" w:ascii="仿宋" w:hAnsi="仿宋" w:eastAsia="仿宋" w:cs="方正仿宋_GB2312"/>
          <w:sz w:val="32"/>
          <w:szCs w:val="32"/>
          <w:lang w:val="en-US" w:eastAsia="zh-CN"/>
        </w:rPr>
        <w:t>；</w:t>
      </w:r>
      <w:r>
        <w:rPr>
          <w:rFonts w:hint="eastAsia" w:ascii="仿宋" w:hAnsi="仿宋" w:eastAsia="仿宋" w:cs="仿宋"/>
          <w:color w:val="000000"/>
          <w:kern w:val="2"/>
          <w:sz w:val="32"/>
          <w:szCs w:val="32"/>
          <w:lang w:val="en-US" w:eastAsia="zh-CN" w:bidi="ar-SA"/>
        </w:rPr>
        <w:t>投标人获得具有公安部计算机信息系统安全产品质量监督检验中心或公安部信息安全产品检测中心出具的检验检测合格报告</w:t>
      </w:r>
      <w:r>
        <w:rPr>
          <w:rFonts w:hint="eastAsia" w:ascii="仿宋" w:hAnsi="仿宋" w:eastAsia="仿宋" w:cs="方正仿宋_GB2312"/>
          <w:sz w:val="32"/>
          <w:szCs w:val="32"/>
          <w:u w:val="single"/>
        </w:rPr>
        <w:t xml:space="preserve">      </w:t>
      </w:r>
      <w:r>
        <w:rPr>
          <w:rFonts w:hint="eastAsia" w:ascii="仿宋" w:hAnsi="仿宋" w:eastAsia="仿宋" w:cs="方正仿宋_GB2312"/>
          <w:sz w:val="32"/>
          <w:szCs w:val="32"/>
        </w:rPr>
        <w:t>个</w:t>
      </w:r>
      <w:r>
        <w:rPr>
          <w:rFonts w:hint="eastAsia" w:ascii="仿宋" w:hAnsi="仿宋" w:eastAsia="仿宋" w:cs="方正仿宋_GB2312"/>
          <w:sz w:val="32"/>
          <w:szCs w:val="32"/>
          <w:lang w:eastAsia="zh-CN"/>
        </w:rPr>
        <w:t>。</w:t>
      </w:r>
    </w:p>
    <w:p>
      <w:pPr>
        <w:ind w:firstLine="640" w:firstLineChars="200"/>
        <w:rPr>
          <w:rFonts w:hint="eastAsia" w:ascii="仿宋" w:hAnsi="仿宋" w:eastAsia="仿宋" w:cs="方正仿宋_GB2312"/>
          <w:color w:val="000000"/>
          <w:kern w:val="2"/>
          <w:sz w:val="32"/>
          <w:szCs w:val="32"/>
          <w:lang w:val="en-US" w:eastAsia="zh-CN" w:bidi="ar-SA"/>
        </w:rPr>
      </w:pPr>
      <w:r>
        <w:rPr>
          <w:rFonts w:hint="eastAsia" w:ascii="仿宋" w:hAnsi="仿宋" w:eastAsia="仿宋" w:cs="方正仿宋_GB2312"/>
          <w:color w:val="000000"/>
          <w:kern w:val="2"/>
          <w:sz w:val="32"/>
          <w:szCs w:val="32"/>
          <w:lang w:val="en-US" w:eastAsia="zh-CN" w:bidi="ar-SA"/>
        </w:rPr>
        <w:t>自2021年1月1日以来，投标人具备网络安全应急服务资质的：</w:t>
      </w:r>
    </w:p>
    <w:p>
      <w:pPr>
        <w:spacing w:line="560" w:lineRule="exact"/>
        <w:ind w:firstLine="640" w:firstLineChars="200"/>
        <w:rPr>
          <w:rFonts w:hint="eastAsia" w:ascii="仿宋" w:hAnsi="仿宋" w:eastAsia="仿宋" w:cs="方正仿宋_GB2312"/>
          <w:sz w:val="32"/>
          <w:szCs w:val="32"/>
          <w:lang w:eastAsia="zh-CN"/>
        </w:rPr>
      </w:pPr>
      <w:r>
        <w:rPr>
          <w:rFonts w:hint="eastAsia" w:ascii="仿宋" w:hAnsi="仿宋" w:eastAsia="仿宋" w:cs="方正仿宋_GB2312"/>
          <w:sz w:val="32"/>
          <w:szCs w:val="32"/>
        </w:rPr>
        <w:t>国家级：</w:t>
      </w:r>
      <w:r>
        <w:rPr>
          <w:rFonts w:hint="eastAsia" w:ascii="仿宋" w:hAnsi="仿宋" w:eastAsia="仿宋" w:cs="方正仿宋_GB2312"/>
          <w:sz w:val="32"/>
          <w:szCs w:val="32"/>
          <w:u w:val="single"/>
        </w:rPr>
        <w:t xml:space="preserve">      </w:t>
      </w:r>
      <w:r>
        <w:rPr>
          <w:rFonts w:hint="eastAsia" w:ascii="仿宋" w:hAnsi="仿宋" w:eastAsia="仿宋" w:cs="方正仿宋_GB2312"/>
          <w:sz w:val="32"/>
          <w:szCs w:val="32"/>
        </w:rPr>
        <w:t>个；省级：</w:t>
      </w:r>
      <w:r>
        <w:rPr>
          <w:rFonts w:hint="eastAsia" w:ascii="仿宋" w:hAnsi="仿宋" w:eastAsia="仿宋" w:cs="方正仿宋_GB2312"/>
          <w:sz w:val="32"/>
          <w:szCs w:val="32"/>
          <w:u w:val="single"/>
        </w:rPr>
        <w:t xml:space="preserve">      </w:t>
      </w:r>
      <w:r>
        <w:rPr>
          <w:rFonts w:hint="eastAsia" w:ascii="仿宋" w:hAnsi="仿宋" w:eastAsia="仿宋" w:cs="方正仿宋_GB2312"/>
          <w:sz w:val="32"/>
          <w:szCs w:val="32"/>
        </w:rPr>
        <w:t>个；地市级：</w:t>
      </w:r>
      <w:r>
        <w:rPr>
          <w:rFonts w:hint="eastAsia" w:ascii="仿宋" w:hAnsi="仿宋" w:eastAsia="仿宋" w:cs="方正仿宋_GB2312"/>
          <w:sz w:val="32"/>
          <w:szCs w:val="32"/>
          <w:u w:val="single"/>
        </w:rPr>
        <w:t xml:space="preserve">      </w:t>
      </w:r>
      <w:r>
        <w:rPr>
          <w:rFonts w:hint="eastAsia" w:ascii="仿宋" w:hAnsi="仿宋" w:eastAsia="仿宋" w:cs="方正仿宋_GB2312"/>
          <w:sz w:val="32"/>
          <w:szCs w:val="32"/>
        </w:rPr>
        <w:t>个</w:t>
      </w:r>
      <w:r>
        <w:rPr>
          <w:rFonts w:hint="eastAsia" w:ascii="仿宋" w:hAnsi="仿宋" w:eastAsia="仿宋" w:cs="方正仿宋_GB2312"/>
          <w:sz w:val="32"/>
          <w:szCs w:val="32"/>
          <w:lang w:eastAsia="zh-CN"/>
        </w:rPr>
        <w:t>。</w:t>
      </w:r>
    </w:p>
    <w:p>
      <w:pPr>
        <w:pStyle w:val="2"/>
        <w:rPr>
          <w:rFonts w:hint="eastAsia"/>
          <w:lang w:eastAsia="zh-CN"/>
        </w:rPr>
      </w:pPr>
    </w:p>
    <w:p>
      <w:pPr>
        <w:numPr>
          <w:ilvl w:val="0"/>
          <w:numId w:val="0"/>
        </w:numPr>
        <w:ind w:left="0" w:leftChars="0" w:firstLine="640" w:firstLineChars="200"/>
        <w:rPr>
          <w:rFonts w:hint="eastAsia" w:ascii="仿宋" w:hAnsi="仿宋" w:eastAsia="仿宋" w:cs="方正仿宋_GB2312"/>
          <w:sz w:val="32"/>
          <w:szCs w:val="32"/>
          <w:u w:val="none"/>
          <w:lang w:val="en-US" w:eastAsia="zh-CN"/>
        </w:rPr>
      </w:pPr>
      <w:r>
        <w:rPr>
          <w:rFonts w:hint="eastAsia" w:ascii="仿宋" w:hAnsi="仿宋" w:eastAsia="仿宋" w:cs="方正仿宋_GB2312"/>
          <w:sz w:val="32"/>
          <w:szCs w:val="32"/>
          <w:u w:val="none"/>
          <w:lang w:val="en-US" w:eastAsia="zh-CN"/>
        </w:rPr>
        <w:t>2.服务团队成员资质</w:t>
      </w:r>
    </w:p>
    <w:p>
      <w:pPr>
        <w:pStyle w:val="2"/>
        <w:numPr>
          <w:ilvl w:val="0"/>
          <w:numId w:val="0"/>
        </w:numPr>
        <w:ind w:left="0" w:leftChars="0" w:firstLine="640" w:firstLineChars="200"/>
        <w:rPr>
          <w:rFonts w:hint="eastAsia" w:ascii="仿宋" w:hAnsi="仿宋" w:eastAsia="仿宋" w:cs="方正仿宋_GB2312"/>
          <w:sz w:val="32"/>
          <w:szCs w:val="32"/>
          <w:lang w:eastAsia="zh-CN"/>
        </w:rPr>
      </w:pPr>
      <w:r>
        <w:rPr>
          <w:rFonts w:hint="eastAsia" w:ascii="仿宋" w:hAnsi="仿宋" w:eastAsia="仿宋" w:cs="方正仿宋_GB2312"/>
          <w:color w:val="000000"/>
          <w:kern w:val="2"/>
          <w:sz w:val="32"/>
          <w:szCs w:val="32"/>
          <w:lang w:val="en-US" w:eastAsia="zh-CN" w:bidi="ar-SA"/>
        </w:rPr>
        <w:t>售后服务技术人员资质证书，注册信息安全人员（CISP）证书</w:t>
      </w:r>
      <w:r>
        <w:rPr>
          <w:rFonts w:hint="eastAsia" w:ascii="仿宋" w:hAnsi="仿宋" w:eastAsia="仿宋" w:cs="方正仿宋_GB2312"/>
          <w:sz w:val="32"/>
          <w:szCs w:val="32"/>
          <w:u w:val="single"/>
        </w:rPr>
        <w:t xml:space="preserve">      </w:t>
      </w:r>
      <w:r>
        <w:rPr>
          <w:rFonts w:hint="eastAsia" w:ascii="仿宋" w:hAnsi="仿宋" w:eastAsia="仿宋" w:cs="方正仿宋_GB2312"/>
          <w:sz w:val="32"/>
          <w:szCs w:val="32"/>
        </w:rPr>
        <w:t>个</w:t>
      </w:r>
      <w:r>
        <w:rPr>
          <w:rFonts w:hint="eastAsia" w:ascii="仿宋" w:hAnsi="仿宋" w:eastAsia="仿宋" w:cs="方正仿宋_GB2312"/>
          <w:color w:val="000000"/>
          <w:kern w:val="2"/>
          <w:sz w:val="32"/>
          <w:szCs w:val="32"/>
          <w:lang w:val="en-US" w:eastAsia="zh-CN" w:bidi="ar-SA"/>
        </w:rPr>
        <w:t>；信息安全保障人员（CISAW）</w:t>
      </w:r>
      <w:r>
        <w:rPr>
          <w:rFonts w:hint="eastAsia" w:ascii="仿宋" w:hAnsi="仿宋" w:eastAsia="仿宋" w:cs="方正仿宋_GB2312"/>
          <w:sz w:val="32"/>
          <w:szCs w:val="32"/>
          <w:u w:val="single"/>
        </w:rPr>
        <w:t xml:space="preserve">      </w:t>
      </w:r>
      <w:r>
        <w:rPr>
          <w:rFonts w:hint="eastAsia" w:ascii="仿宋" w:hAnsi="仿宋" w:eastAsia="仿宋" w:cs="方正仿宋_GB2312"/>
          <w:sz w:val="32"/>
          <w:szCs w:val="32"/>
        </w:rPr>
        <w:t>个</w:t>
      </w:r>
      <w:r>
        <w:rPr>
          <w:rFonts w:hint="eastAsia" w:ascii="仿宋" w:hAnsi="仿宋" w:eastAsia="仿宋" w:cs="方正仿宋_GB2312"/>
          <w:sz w:val="32"/>
          <w:szCs w:val="32"/>
          <w:lang w:eastAsia="zh-CN"/>
        </w:rPr>
        <w:t>。</w:t>
      </w:r>
    </w:p>
    <w:p>
      <w:pPr>
        <w:rPr>
          <w:rFonts w:hint="eastAsia"/>
          <w:lang w:val="en-US" w:eastAsia="zh-CN"/>
        </w:rPr>
      </w:pPr>
    </w:p>
    <w:p>
      <w:pPr>
        <w:numPr>
          <w:ilvl w:val="0"/>
          <w:numId w:val="0"/>
        </w:numPr>
        <w:ind w:left="0" w:leftChars="0" w:firstLine="640" w:firstLineChars="200"/>
        <w:rPr>
          <w:rFonts w:hint="eastAsia" w:ascii="仿宋" w:hAnsi="仿宋" w:eastAsia="仿宋" w:cs="方正仿宋_GB2312"/>
          <w:sz w:val="32"/>
          <w:szCs w:val="32"/>
          <w:lang w:val="en-US" w:eastAsia="zh-CN"/>
        </w:rPr>
      </w:pPr>
      <w:r>
        <w:rPr>
          <w:rFonts w:hint="eastAsia" w:ascii="仿宋" w:hAnsi="仿宋" w:eastAsia="仿宋" w:cs="方正仿宋_GB2312"/>
          <w:sz w:val="32"/>
          <w:szCs w:val="32"/>
          <w:lang w:val="en-US" w:eastAsia="zh-CN"/>
        </w:rPr>
        <w:t>3.投标人业绩</w:t>
      </w:r>
    </w:p>
    <w:p>
      <w:pPr>
        <w:pStyle w:val="2"/>
        <w:numPr>
          <w:ilvl w:val="0"/>
          <w:numId w:val="0"/>
        </w:numPr>
        <w:ind w:left="0" w:leftChars="0" w:firstLine="640" w:firstLineChars="200"/>
        <w:rPr>
          <w:rFonts w:hint="eastAsia" w:ascii="仿宋" w:hAnsi="仿宋" w:eastAsia="仿宋" w:cs="方正仿宋_GB2312"/>
          <w:sz w:val="32"/>
          <w:szCs w:val="32"/>
          <w:lang w:eastAsia="zh-CN"/>
        </w:rPr>
      </w:pPr>
      <w:r>
        <w:rPr>
          <w:rFonts w:hint="eastAsia" w:ascii="仿宋" w:hAnsi="仿宋" w:eastAsia="仿宋" w:cs="方正仿宋_GB2312"/>
          <w:color w:val="000000"/>
          <w:kern w:val="2"/>
          <w:sz w:val="32"/>
          <w:szCs w:val="32"/>
          <w:lang w:val="en-US" w:eastAsia="zh-CN" w:bidi="ar-SA"/>
        </w:rPr>
        <w:t>自2021年1月1日以来，投标人具有网络安全或信息化（或网络）运维服务案例</w:t>
      </w:r>
      <w:r>
        <w:rPr>
          <w:rFonts w:hint="eastAsia" w:ascii="仿宋" w:hAnsi="仿宋" w:eastAsia="仿宋" w:cs="方正仿宋_GB2312"/>
          <w:sz w:val="32"/>
          <w:szCs w:val="32"/>
          <w:u w:val="single"/>
        </w:rPr>
        <w:t xml:space="preserve">      </w:t>
      </w:r>
      <w:r>
        <w:rPr>
          <w:rFonts w:hint="eastAsia" w:ascii="仿宋" w:hAnsi="仿宋" w:eastAsia="仿宋" w:cs="方正仿宋_GB2312"/>
          <w:sz w:val="32"/>
          <w:szCs w:val="32"/>
        </w:rPr>
        <w:t>个</w:t>
      </w:r>
      <w:r>
        <w:rPr>
          <w:rFonts w:hint="eastAsia" w:ascii="仿宋" w:hAnsi="仿宋" w:eastAsia="仿宋" w:cs="方正仿宋_GB2312"/>
          <w:sz w:val="32"/>
          <w:szCs w:val="32"/>
          <w:lang w:eastAsia="zh-CN"/>
        </w:rPr>
        <w:t>。</w:t>
      </w:r>
    </w:p>
    <w:p>
      <w:pPr>
        <w:pStyle w:val="2"/>
        <w:rPr>
          <w:rFonts w:hint="eastAsia"/>
          <w:lang w:val="en-US" w:eastAsia="zh-CN"/>
        </w:rPr>
      </w:pPr>
      <w:r>
        <w:rPr>
          <w:rFonts w:hint="eastAsia" w:ascii="仿宋" w:hAnsi="仿宋" w:eastAsia="仿宋" w:cs="方正仿宋_GB2312"/>
          <w:b/>
          <w:bCs/>
          <w:sz w:val="32"/>
          <w:szCs w:val="32"/>
        </w:rPr>
        <w:t>七、其他方面的建议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2C60C"/>
    <w:multiLevelType w:val="singleLevel"/>
    <w:tmpl w:val="5E92C6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MDU0NjMxZWQ0YmRkMjAxNGY1ZTljZmJiYjExMGQifQ=="/>
  </w:docVars>
  <w:rsids>
    <w:rsidRoot w:val="00000000"/>
    <w:rsid w:val="00B66ACB"/>
    <w:rsid w:val="05364797"/>
    <w:rsid w:val="08114BF3"/>
    <w:rsid w:val="09121ED9"/>
    <w:rsid w:val="0A960E3D"/>
    <w:rsid w:val="0C523D2B"/>
    <w:rsid w:val="0E8A515C"/>
    <w:rsid w:val="10753E24"/>
    <w:rsid w:val="110C5D35"/>
    <w:rsid w:val="135E2C79"/>
    <w:rsid w:val="1A52463A"/>
    <w:rsid w:val="1A8448EE"/>
    <w:rsid w:val="1B421536"/>
    <w:rsid w:val="1C5B1EE6"/>
    <w:rsid w:val="1D1B6AD0"/>
    <w:rsid w:val="1EA8401C"/>
    <w:rsid w:val="1F494152"/>
    <w:rsid w:val="276A612A"/>
    <w:rsid w:val="297B1E59"/>
    <w:rsid w:val="2C7072A9"/>
    <w:rsid w:val="2E6647A7"/>
    <w:rsid w:val="35597A60"/>
    <w:rsid w:val="35801486"/>
    <w:rsid w:val="36362F59"/>
    <w:rsid w:val="380674CE"/>
    <w:rsid w:val="3BB80C52"/>
    <w:rsid w:val="3D007EC3"/>
    <w:rsid w:val="42491FBA"/>
    <w:rsid w:val="43043D8C"/>
    <w:rsid w:val="45621944"/>
    <w:rsid w:val="48040D0B"/>
    <w:rsid w:val="510E0CFA"/>
    <w:rsid w:val="537C29D6"/>
    <w:rsid w:val="55672339"/>
    <w:rsid w:val="5DA31FC6"/>
    <w:rsid w:val="63112227"/>
    <w:rsid w:val="63C726FB"/>
    <w:rsid w:val="68F24043"/>
    <w:rsid w:val="6BA44B8B"/>
    <w:rsid w:val="6C6F33D9"/>
    <w:rsid w:val="72C306E6"/>
    <w:rsid w:val="72E225EB"/>
    <w:rsid w:val="73351CBE"/>
    <w:rsid w:val="77AA4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pPr>
  </w:style>
  <w:style w:type="paragraph" w:styleId="3">
    <w:name w:val="Body Text Indent"/>
    <w:basedOn w:val="1"/>
    <w:next w:val="4"/>
    <w:qFormat/>
    <w:uiPriority w:val="0"/>
    <w:pPr>
      <w:ind w:firstLine="660"/>
    </w:pPr>
    <w:rPr>
      <w:rFonts w:ascii="微软简标宋" w:hAnsi="微软简标宋"/>
      <w:color w:val="000000"/>
      <w:sz w:val="24"/>
    </w:rPr>
  </w:style>
  <w:style w:type="paragraph" w:styleId="4">
    <w:name w:val="envelope return"/>
    <w:basedOn w:val="1"/>
    <w:autoRedefine/>
    <w:qFormat/>
    <w:uiPriority w:val="0"/>
    <w:pPr>
      <w:snapToGrid w:val="0"/>
    </w:pPr>
    <w:rPr>
      <w:rFonts w:ascii="Arial" w:hAnsi="Arial"/>
    </w:rPr>
  </w:style>
  <w:style w:type="character" w:styleId="7">
    <w:name w:val="Hyperlink"/>
    <w:basedOn w:val="6"/>
    <w:qFormat/>
    <w:uiPriority w:val="0"/>
    <w:rPr>
      <w:color w:val="0000FF"/>
      <w:u w:val="single"/>
    </w:rPr>
  </w:style>
  <w:style w:type="paragraph" w:styleId="8">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2638</Words>
  <Characters>2724</Characters>
  <Lines>0</Lines>
  <Paragraphs>0</Paragraphs>
  <TotalTime>10</TotalTime>
  <ScaleCrop>false</ScaleCrop>
  <LinksUpToDate>false</LinksUpToDate>
  <CharactersWithSpaces>2789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2024-05-31T06:51:00Z</dcterms:created>
  <dc:creator>Administrator</dc:creator>
  <cp:lastModifiedBy>李超</cp:lastModifiedBy>
  <dcterms:modified xsi:type="dcterms:W3CDTF">2024-06-17T01:36:56Z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023E2C6E3CB344F798FD18AA107A6867_12</vt:lpwstr>
  </property>
</Properties>
</file>