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eastAsia="zh-CN"/>
        </w:rPr>
        <w:t>附件、六</w:t>
      </w:r>
    </w:p>
    <w:p>
      <w:pPr>
        <w:jc w:val="center"/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  <w:lang w:val="en-US" w:eastAsia="zh-CN"/>
        </w:rPr>
        <w:t>各单位云端运动会参与率及得分统计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总人数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参与率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土木工程学院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2808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2531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90.14%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180.3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建筑与规划学院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899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5.67%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环境与能源工程学院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1942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133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6.85%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3002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66</w:t>
            </w:r>
            <w:bookmarkStart w:id="0" w:name="_GoBack"/>
            <w:bookmarkEnd w:id="0"/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2.2%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电子与信息工程学院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2245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5.08%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材料与化学工程学院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1287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602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46.78%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数理学院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780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4.49%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352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0.85%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954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333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34.91%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69.8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机械与电气工程学院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2217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5.23%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1188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5.81%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11.6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2430A8C"/>
    <w:rsid w:val="39990314"/>
    <w:rsid w:val="55CB6A45"/>
    <w:rsid w:val="6845643C"/>
    <w:rsid w:val="6D1D5067"/>
    <w:rsid w:val="7CAD1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2020-09-21T14:50:21Z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