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3A0AA">
      <w:pPr>
        <w:spacing w:line="480" w:lineRule="exact"/>
        <w:jc w:val="center"/>
        <w:rPr>
          <w:rFonts w:hint="eastAsia" w:eastAsia="黑体"/>
          <w:b/>
          <w:bCs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sz w:val="32"/>
        </w:rPr>
        <w:t>安徽省高等学校教师资格认定教育教学基本素质</w:t>
      </w:r>
    </w:p>
    <w:p w14:paraId="41B430C2">
      <w:pPr>
        <w:spacing w:line="480" w:lineRule="exact"/>
        <w:jc w:val="center"/>
        <w:rPr>
          <w:rFonts w:hint="eastAsia"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和能力测评指标体系与评分标准</w:t>
      </w:r>
    </w:p>
    <w:p w14:paraId="47BA47B8">
      <w:pPr>
        <w:spacing w:line="240" w:lineRule="exact"/>
        <w:jc w:val="center"/>
        <w:rPr>
          <w:rFonts w:hint="eastAsia" w:eastAsia="黑体"/>
          <w:b/>
          <w:bCs/>
          <w:sz w:val="32"/>
        </w:rPr>
      </w:pPr>
    </w:p>
    <w:tbl>
      <w:tblPr>
        <w:tblStyle w:val="2"/>
        <w:tblW w:w="9567" w:type="dxa"/>
        <w:jc w:val="center"/>
        <w:tblLayout w:type="fixed"/>
        <w:tblCellMar>
          <w:left w:w="108" w:type="dxa"/>
          <w:right w:w="108" w:type="dxa"/>
        </w:tblCellMar>
      </w:tblPr>
      <w:tblGrid>
        <w:gridCol w:w="618"/>
        <w:gridCol w:w="1163"/>
        <w:gridCol w:w="1566"/>
        <w:gridCol w:w="1494"/>
        <w:gridCol w:w="564"/>
        <w:gridCol w:w="821"/>
        <w:gridCol w:w="567"/>
        <w:gridCol w:w="1290"/>
        <w:gridCol w:w="610"/>
        <w:gridCol w:w="454"/>
        <w:gridCol w:w="420"/>
      </w:tblGrid>
      <w:tr w14:paraId="69A34209">
        <w:tblPrEx>
          <w:tblCellMar>
            <w:left w:w="108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78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C10775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申请人姓名</w:t>
            </w:r>
          </w:p>
        </w:tc>
        <w:tc>
          <w:tcPr>
            <w:tcW w:w="3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F9F5C0">
            <w:pPr>
              <w:ind w:left="-90"/>
              <w:jc w:val="center"/>
              <w:rPr>
                <w:szCs w:val="15"/>
              </w:rPr>
            </w:pPr>
          </w:p>
        </w:tc>
        <w:tc>
          <w:tcPr>
            <w:tcW w:w="138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C345C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学科</w:t>
            </w:r>
          </w:p>
        </w:tc>
        <w:tc>
          <w:tcPr>
            <w:tcW w:w="27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F956CA">
            <w:pPr>
              <w:ind w:left="-90"/>
              <w:jc w:val="center"/>
              <w:rPr>
                <w:szCs w:val="15"/>
              </w:rPr>
            </w:pPr>
          </w:p>
        </w:tc>
      </w:tr>
      <w:tr w14:paraId="600718E9">
        <w:tblPrEx>
          <w:tblCellMar>
            <w:left w:w="108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6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4B5DE7E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测试</w:t>
            </w:r>
          </w:p>
          <w:p w14:paraId="40CBF031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方式</w:t>
            </w:r>
          </w:p>
        </w:tc>
        <w:tc>
          <w:tcPr>
            <w:tcW w:w="116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 w14:paraId="795289B1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测试项目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F4D588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测试标准</w:t>
            </w:r>
          </w:p>
        </w:tc>
        <w:tc>
          <w:tcPr>
            <w:tcW w:w="6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B25A540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满</w:t>
            </w:r>
          </w:p>
          <w:p w14:paraId="3E982670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分</w:t>
            </w:r>
          </w:p>
        </w:tc>
        <w:tc>
          <w:tcPr>
            <w:tcW w:w="8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59364D9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评价</w:t>
            </w:r>
          </w:p>
        </w:tc>
      </w:tr>
      <w:tr w14:paraId="1C0B9E57">
        <w:tblPrEx>
          <w:tblCellMar>
            <w:left w:w="108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F877E3">
            <w:pPr>
              <w:ind w:left="-90"/>
              <w:jc w:val="center"/>
              <w:rPr>
                <w:szCs w:val="15"/>
              </w:rPr>
            </w:pPr>
          </w:p>
        </w:tc>
        <w:tc>
          <w:tcPr>
            <w:tcW w:w="1163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ABA876">
            <w:pPr>
              <w:ind w:left="-90"/>
              <w:jc w:val="center"/>
              <w:rPr>
                <w:szCs w:val="15"/>
              </w:rPr>
            </w:pPr>
          </w:p>
        </w:tc>
        <w:tc>
          <w:tcPr>
            <w:tcW w:w="1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4E6C17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优</w:t>
            </w:r>
          </w:p>
          <w:p w14:paraId="10C4E1FD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（0.85－1.0）</w:t>
            </w:r>
          </w:p>
          <w:p w14:paraId="495C3256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完全达到</w:t>
            </w:r>
          </w:p>
        </w:tc>
        <w:tc>
          <w:tcPr>
            <w:tcW w:w="149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37C27A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良</w:t>
            </w:r>
          </w:p>
          <w:p w14:paraId="18A19971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（0.7－0.85）</w:t>
            </w:r>
          </w:p>
          <w:p w14:paraId="7396E1F3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zCs w:val="15"/>
              </w:rPr>
              <w:t>大部分达到</w:t>
            </w:r>
          </w:p>
        </w:tc>
        <w:tc>
          <w:tcPr>
            <w:tcW w:w="13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37A0D3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中</w:t>
            </w:r>
          </w:p>
          <w:p w14:paraId="3BC56A85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（0.6－0.7）</w:t>
            </w:r>
          </w:p>
          <w:p w14:paraId="553698B9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zCs w:val="15"/>
              </w:rPr>
              <w:t>基本达到</w:t>
            </w:r>
          </w:p>
        </w:tc>
        <w:tc>
          <w:tcPr>
            <w:tcW w:w="18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9FBBA2">
            <w:pPr>
              <w:ind w:left="-90"/>
              <w:jc w:val="center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差（0.6以下）</w:t>
            </w:r>
          </w:p>
          <w:p w14:paraId="681380E6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zCs w:val="15"/>
              </w:rPr>
              <w:t>大部分达不到</w:t>
            </w:r>
          </w:p>
        </w:tc>
        <w:tc>
          <w:tcPr>
            <w:tcW w:w="6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3C24E7">
            <w:pPr>
              <w:ind w:left="-90"/>
              <w:jc w:val="center"/>
              <w:rPr>
                <w:szCs w:val="15"/>
              </w:rPr>
            </w:pP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0A84A7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等</w:t>
            </w:r>
          </w:p>
          <w:p w14:paraId="1E0B4FDD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级</w:t>
            </w: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DE3865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得</w:t>
            </w:r>
          </w:p>
          <w:p w14:paraId="7F10FD43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分</w:t>
            </w:r>
          </w:p>
        </w:tc>
      </w:tr>
      <w:tr w14:paraId="5934CC14">
        <w:tblPrEx>
          <w:tblCellMar>
            <w:left w:w="108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866EC71">
            <w:pPr>
              <w:ind w:left="-90"/>
              <w:jc w:val="center"/>
              <w:rPr>
                <w:rFonts w:ascii="Mincho"/>
                <w:kern w:val="0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面试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5D6EFA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仪表仪态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F5349F">
            <w:pPr>
              <w:ind w:left="-90"/>
              <w:rPr>
                <w:rFonts w:hint="eastAsia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仪表端庄、自然、服饰得体、大方、整洁，表现出良好的仪容、气质和修养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9009AD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692418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8AD17F">
            <w:pPr>
              <w:ind w:left="-90"/>
              <w:rPr>
                <w:szCs w:val="15"/>
              </w:rPr>
            </w:pPr>
          </w:p>
        </w:tc>
      </w:tr>
      <w:tr w14:paraId="6488708E">
        <w:tblPrEx>
          <w:tblCellMar>
            <w:left w:w="108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661F412F">
            <w:pPr>
              <w:ind w:left="-90"/>
              <w:jc w:val="center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166D25F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行为举止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7BDAA73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举止稳重大方、朴实自然，表现出良好的师德风范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A2FF07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12DB8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43A2F8">
            <w:pPr>
              <w:ind w:left="-90"/>
              <w:rPr>
                <w:szCs w:val="15"/>
              </w:rPr>
            </w:pPr>
          </w:p>
        </w:tc>
      </w:tr>
      <w:tr w14:paraId="1477AC14">
        <w:tblPrEx>
          <w:tblCellMar>
            <w:left w:w="108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A3AAA7A">
            <w:pPr>
              <w:ind w:left="-90"/>
              <w:jc w:val="center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C51593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思维能力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2B5F81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根据提问及时应答，回答流畅、正确、有条理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C7920E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45CD9D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9CF9BB">
            <w:pPr>
              <w:ind w:left="-90"/>
              <w:rPr>
                <w:szCs w:val="15"/>
              </w:rPr>
            </w:pPr>
          </w:p>
        </w:tc>
      </w:tr>
      <w:tr w14:paraId="01045F43">
        <w:tblPrEx>
          <w:tblCellMar>
            <w:left w:w="108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AF51193">
            <w:pPr>
              <w:ind w:left="-90"/>
              <w:jc w:val="center"/>
              <w:rPr>
                <w:szCs w:val="15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D62208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语音表达</w:t>
            </w:r>
          </w:p>
          <w:p w14:paraId="321D9024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能力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4D323D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使用普通话，表述准确、清晰、完整、逻辑性强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36A0D0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B1D5F24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9719D5">
            <w:pPr>
              <w:ind w:left="-90"/>
              <w:rPr>
                <w:szCs w:val="15"/>
              </w:rPr>
            </w:pPr>
          </w:p>
        </w:tc>
      </w:tr>
      <w:tr w14:paraId="2786E019">
        <w:tblPrEx>
          <w:tblCellMar>
            <w:left w:w="108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E6BA478">
            <w:pPr>
              <w:ind w:left="-90"/>
              <w:jc w:val="center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C330DA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基础理论</w:t>
            </w:r>
          </w:p>
          <w:p w14:paraId="4D68F08A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和专业知</w:t>
            </w:r>
          </w:p>
          <w:p w14:paraId="433A5D46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识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4E2B34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1、具备拟教学科、专业的基础理论和基本知识</w:t>
            </w:r>
          </w:p>
          <w:p w14:paraId="5928162E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2、掌握教育学、心理学基本常识</w:t>
            </w:r>
          </w:p>
          <w:p w14:paraId="0C739381">
            <w:pPr>
              <w:ind w:left="-90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3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、了解主要相关专业的有关知识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25432C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40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BE685E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43A5F0">
            <w:pPr>
              <w:ind w:left="-90"/>
              <w:rPr>
                <w:szCs w:val="15"/>
              </w:rPr>
            </w:pPr>
          </w:p>
        </w:tc>
      </w:tr>
      <w:tr w14:paraId="0D985A2E">
        <w:tblPrEx>
          <w:tblCellMar>
            <w:left w:w="108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D1EEE4">
            <w:pPr>
              <w:ind w:left="-90"/>
              <w:jc w:val="center"/>
              <w:rPr>
                <w:rFonts w:ascii="Mincho"/>
                <w:kern w:val="0"/>
              </w:rPr>
            </w:pPr>
          </w:p>
        </w:tc>
        <w:tc>
          <w:tcPr>
            <w:tcW w:w="74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13AEA9A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总</w:t>
            </w:r>
            <w:r>
              <w:rPr>
                <w:rFonts w:ascii="宋体"/>
                <w:spacing w:val="2"/>
                <w:kern w:val="0"/>
                <w:szCs w:val="15"/>
              </w:rPr>
              <w:t xml:space="preserve">    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评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DDE994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100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B69845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25C68">
            <w:pPr>
              <w:ind w:left="-90"/>
              <w:rPr>
                <w:szCs w:val="15"/>
              </w:rPr>
            </w:pPr>
          </w:p>
        </w:tc>
      </w:tr>
      <w:tr w14:paraId="5927477F">
        <w:tblPrEx>
          <w:tblCellMar>
            <w:left w:w="108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1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361848F8">
            <w:pPr>
              <w:ind w:left="-90"/>
              <w:rPr>
                <w:rFonts w:ascii="Mincho"/>
                <w:kern w:val="0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试讲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5FD2AE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65743C08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态度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209168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1、注重素质教育，培养学生分析和解决问题的能力</w:t>
            </w:r>
          </w:p>
          <w:p w14:paraId="758F060C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2、教书育人，融思想政治教育和科学精神、人文精神于教学中</w:t>
            </w:r>
          </w:p>
          <w:p w14:paraId="0B327A4B">
            <w:pPr>
              <w:ind w:left="-90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3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、备课认真，讲稿</w:t>
            </w:r>
            <w:r>
              <w:rPr>
                <w:rFonts w:ascii="宋体"/>
                <w:spacing w:val="2"/>
                <w:kern w:val="0"/>
                <w:szCs w:val="15"/>
              </w:rPr>
              <w:t>(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或教案</w:t>
            </w:r>
            <w:r>
              <w:rPr>
                <w:rFonts w:ascii="宋体"/>
                <w:spacing w:val="2"/>
                <w:kern w:val="0"/>
                <w:szCs w:val="15"/>
              </w:rPr>
              <w:t>)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内容充实，清晰整洁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42B5E9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59DE01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7CEFE7">
            <w:pPr>
              <w:ind w:left="-90"/>
              <w:rPr>
                <w:szCs w:val="15"/>
              </w:rPr>
            </w:pPr>
          </w:p>
        </w:tc>
      </w:tr>
      <w:tr w14:paraId="705431DF">
        <w:tblPrEx>
          <w:tblCellMar>
            <w:left w:w="108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43AD7ADB">
            <w:pPr>
              <w:ind w:left="-90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BE526CC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3AC45B0F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目标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F5ECEE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1、教学目标明确、具体，符合培养目标要求，切合学生学习实际</w:t>
            </w:r>
          </w:p>
          <w:p w14:paraId="022F0851">
            <w:pPr>
              <w:ind w:left="-90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2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、教学目标体现知识传授、技能训练及能力培养的相互统—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C7DE1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10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CDBF59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B2A8F">
            <w:pPr>
              <w:ind w:left="-90"/>
              <w:rPr>
                <w:szCs w:val="15"/>
              </w:rPr>
            </w:pPr>
          </w:p>
        </w:tc>
      </w:tr>
      <w:tr w14:paraId="03460A4B">
        <w:tblPrEx>
          <w:tblCellMar>
            <w:left w:w="108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5DFBE608">
            <w:pPr>
              <w:ind w:left="-90"/>
              <w:rPr>
                <w:szCs w:val="15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F5F32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2EF319BA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内容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DDA7A9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l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、根据课程性质及大纲处理教材，结合学科发展注意内容更新</w:t>
            </w:r>
          </w:p>
          <w:p w14:paraId="79228253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2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、重视理论联系实际，突出实践性教学</w:t>
            </w:r>
          </w:p>
          <w:p w14:paraId="411BA7AD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3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、容量安排适当，信息量适中，教学结构程序设计合理，条理清楚，重点突出</w:t>
            </w:r>
          </w:p>
          <w:p w14:paraId="6B04CCAB">
            <w:pPr>
              <w:ind w:left="-90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4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、内容准确，无知识性错误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8A5A736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25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0A1E52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297FF9">
            <w:pPr>
              <w:ind w:left="-90"/>
              <w:rPr>
                <w:szCs w:val="15"/>
              </w:rPr>
            </w:pPr>
          </w:p>
        </w:tc>
      </w:tr>
      <w:tr w14:paraId="4A08DA62">
        <w:tblPrEx>
          <w:tblCellMar>
            <w:left w:w="108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23C1EAFA">
            <w:pPr>
              <w:ind w:left="-90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58769B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36564EB9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方法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7C1FC7">
            <w:pPr>
              <w:ind w:left="-90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l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、注重激发学生学习兴趣，启发学生思维</w:t>
            </w:r>
          </w:p>
          <w:p w14:paraId="35FC0ABD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2、教学方法灵活多样，适合教学内容，符合学生实际</w:t>
            </w:r>
          </w:p>
          <w:p w14:paraId="1F196B36">
            <w:pPr>
              <w:ind w:left="-90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3、根据教学需要，适时、适度运用教具和现代教育技术手段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8F9BE9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20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662E22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0DDBB8">
            <w:pPr>
              <w:ind w:left="-90"/>
              <w:rPr>
                <w:szCs w:val="15"/>
              </w:rPr>
            </w:pPr>
          </w:p>
        </w:tc>
      </w:tr>
      <w:tr w14:paraId="2B5DD677">
        <w:tblPrEx>
          <w:tblCellMar>
            <w:left w:w="108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35F1685">
            <w:pPr>
              <w:ind w:left="-90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615ECF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326BB490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技能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5AB55E">
            <w:pPr>
              <w:ind w:left="-90"/>
              <w:rPr>
                <w:rFonts w:hint="eastAsia"/>
                <w:spacing w:val="2"/>
                <w:kern w:val="0"/>
                <w:szCs w:val="15"/>
              </w:rPr>
            </w:pPr>
            <w:r>
              <w:rPr>
                <w:rFonts w:hint="eastAsia"/>
                <w:spacing w:val="2"/>
                <w:kern w:val="0"/>
                <w:szCs w:val="15"/>
              </w:rPr>
              <w:t>1、教态亲切、自然，使用普通话，语言清晰、准确、规范、形象生动，语速、语调适中</w:t>
            </w:r>
          </w:p>
          <w:p w14:paraId="38ECDAE1">
            <w:pPr>
              <w:ind w:left="-90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2、板书层次分明，图例规范，布置恰当，无错别字和不规范字</w:t>
            </w:r>
          </w:p>
          <w:p w14:paraId="3098E014">
            <w:pPr>
              <w:ind w:left="-90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3、善于组织教学，有教学调控能力，教学时间分配合理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917403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7BC36B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29282C">
            <w:pPr>
              <w:ind w:left="-90"/>
              <w:rPr>
                <w:szCs w:val="15"/>
              </w:rPr>
            </w:pPr>
          </w:p>
        </w:tc>
      </w:tr>
      <w:tr w14:paraId="2440393D">
        <w:tblPrEx>
          <w:tblCellMar>
            <w:left w:w="108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 w14:paraId="0666F27F">
            <w:pPr>
              <w:ind w:left="-90"/>
              <w:rPr>
                <w:rFonts w:ascii="Mincho"/>
                <w:kern w:val="0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BCC644">
            <w:pPr>
              <w:ind w:left="-90"/>
              <w:jc w:val="center"/>
              <w:rPr>
                <w:rFonts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教学</w:t>
            </w:r>
          </w:p>
          <w:p w14:paraId="07A9D0D4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效果</w:t>
            </w:r>
          </w:p>
        </w:tc>
        <w:tc>
          <w:tcPr>
            <w:tcW w:w="63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2F64B9">
            <w:pPr>
              <w:ind w:left="-90"/>
              <w:rPr>
                <w:rFonts w:hint="eastAsia" w:ascii="宋体"/>
                <w:spacing w:val="2"/>
                <w:kern w:val="0"/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1、课堂气氛活跃，师生精神饱满，关系融洽，学生兴趣浓厚</w:t>
            </w:r>
          </w:p>
          <w:p w14:paraId="3E527043">
            <w:pPr>
              <w:ind w:left="-90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2、完成课堂教学任务，实现教学目的</w:t>
            </w:r>
          </w:p>
          <w:p w14:paraId="5E8DA29C">
            <w:pPr>
              <w:ind w:left="-90"/>
              <w:rPr>
                <w:rFonts w:hint="eastAsia"/>
                <w:szCs w:val="15"/>
              </w:rPr>
            </w:pPr>
            <w:r>
              <w:rPr>
                <w:rFonts w:hint="eastAsia"/>
                <w:szCs w:val="15"/>
              </w:rPr>
              <w:t>3、当堂测试所学知识，学生应答积极，不同水平学生各有所得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163AFD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15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585495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9FCE82A">
            <w:pPr>
              <w:ind w:left="-90"/>
              <w:rPr>
                <w:szCs w:val="15"/>
              </w:rPr>
            </w:pPr>
          </w:p>
        </w:tc>
      </w:tr>
      <w:tr w14:paraId="771CD690">
        <w:tblPrEx>
          <w:tblCellMar>
            <w:left w:w="108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61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39CCAC">
            <w:pPr>
              <w:ind w:left="-90"/>
              <w:rPr>
                <w:szCs w:val="15"/>
              </w:rPr>
            </w:pPr>
          </w:p>
        </w:tc>
        <w:tc>
          <w:tcPr>
            <w:tcW w:w="746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73BE8B1">
            <w:pPr>
              <w:ind w:left="-90"/>
              <w:jc w:val="center"/>
              <w:rPr>
                <w:szCs w:val="15"/>
              </w:rPr>
            </w:pPr>
            <w:r>
              <w:rPr>
                <w:rFonts w:hint="eastAsia" w:ascii="宋体"/>
                <w:spacing w:val="2"/>
                <w:kern w:val="0"/>
                <w:szCs w:val="15"/>
              </w:rPr>
              <w:t>总</w:t>
            </w:r>
            <w:r>
              <w:rPr>
                <w:rFonts w:ascii="宋体"/>
                <w:spacing w:val="2"/>
                <w:kern w:val="0"/>
                <w:szCs w:val="15"/>
              </w:rPr>
              <w:t xml:space="preserve">    </w:t>
            </w:r>
            <w:r>
              <w:rPr>
                <w:rFonts w:hint="eastAsia" w:ascii="宋体"/>
                <w:spacing w:val="2"/>
                <w:kern w:val="0"/>
                <w:szCs w:val="15"/>
              </w:rPr>
              <w:t>评</w:t>
            </w:r>
          </w:p>
        </w:tc>
        <w:tc>
          <w:tcPr>
            <w:tcW w:w="6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D128EF">
            <w:pPr>
              <w:ind w:left="-90"/>
              <w:jc w:val="center"/>
              <w:rPr>
                <w:szCs w:val="15"/>
              </w:rPr>
            </w:pPr>
            <w:r>
              <w:rPr>
                <w:rFonts w:ascii="宋体"/>
                <w:spacing w:val="2"/>
                <w:kern w:val="0"/>
                <w:szCs w:val="15"/>
              </w:rPr>
              <w:t>100</w:t>
            </w:r>
          </w:p>
        </w:tc>
        <w:tc>
          <w:tcPr>
            <w:tcW w:w="4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52744C8">
            <w:pPr>
              <w:ind w:left="-90"/>
              <w:rPr>
                <w:szCs w:val="15"/>
              </w:rPr>
            </w:pPr>
          </w:p>
        </w:tc>
        <w:tc>
          <w:tcPr>
            <w:tcW w:w="4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ABDCB6">
            <w:pPr>
              <w:ind w:left="-90"/>
              <w:rPr>
                <w:szCs w:val="15"/>
              </w:rPr>
            </w:pPr>
          </w:p>
        </w:tc>
      </w:tr>
    </w:tbl>
    <w:p w14:paraId="32BB1750">
      <w:pPr>
        <w:rPr>
          <w:rFonts w:hint="eastAsia"/>
        </w:rPr>
      </w:pPr>
    </w:p>
    <w:p w14:paraId="007B6728">
      <w:pPr>
        <w:rPr>
          <w:rFonts w:hint="eastAsia"/>
        </w:rPr>
      </w:pPr>
      <w:r>
        <w:rPr>
          <w:rFonts w:hint="eastAsia"/>
        </w:rPr>
        <w:t>测评专家签名</w:t>
      </w:r>
      <w:r>
        <w:rPr>
          <w:rFonts w:hint="eastAsia"/>
          <w:u w:val="single"/>
        </w:rPr>
        <w:t xml:space="preserve">                   </w:t>
      </w:r>
      <w:r>
        <w:rPr>
          <w:rFonts w:hint="eastAsia"/>
        </w:rPr>
        <w:t xml:space="preserve">              测评时间：       年     月     日</w:t>
      </w:r>
    </w:p>
    <w:sectPr>
      <w:footnotePr>
        <w:numFmt w:val="decimal"/>
      </w:footnotePr>
      <w:pgSz w:w="11164" w:h="15485"/>
      <w:pgMar w:top="1089" w:right="1418" w:bottom="936" w:left="1418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ncho">
    <w:altName w:val="Yu Gothic"/>
    <w:panose1 w:val="00000000000000000000"/>
    <w:charset w:val="80"/>
    <w:family w:val="roman"/>
    <w:pitch w:val="default"/>
    <w:sig w:usb0="00000001" w:usb1="0807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F29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723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iPriority w:val="1723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796</Words>
  <Characters>827</Characters>
  <Lines>7</Lines>
  <Paragraphs>1</Paragraphs>
  <TotalTime>0</TotalTime>
  <ScaleCrop>false</ScaleCrop>
  <LinksUpToDate>false</LinksUpToDate>
  <CharactersWithSpaces>885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2008-10-16T01:35:00Z</dcterms:created>
  <dc:creator>rsc</dc:creator>
  <cp:lastModifiedBy>Miracle</cp:lastModifiedBy>
  <cp:lastPrinted>2008-10-16T02:27:00Z</cp:lastPrinted>
  <dcterms:modified xsi:type="dcterms:W3CDTF">2024-10-14T07:57:02Z</dcterms:modified>
  <dc:title>安徽省高等学校教师资格认定教育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DBF430CFDFDB4D6EBCDBEEEDB823AB14_13</vt:lpwstr>
  </property>
</Properties>
</file>