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eastAsia" w:ascii="黑体" w:hAnsi="黑体" w:eastAsia="黑体" w:cs="仿宋_GB2312"/>
          <w:kern w:val="2"/>
          <w:sz w:val="32"/>
          <w:szCs w:val="32"/>
          <w:lang w:val="en-US" w:eastAsia="zh-CN" w:bidi="ar-SA"/>
        </w:rPr>
      </w:pPr>
      <w:bookmarkStart w:id="1" w:name="_GoBack"/>
      <w:bookmarkEnd w:id="1"/>
      <w:r>
        <w:rPr>
          <w:rFonts w:hint="eastAsia" w:ascii="黑体" w:hAnsi="黑体" w:eastAsia="黑体" w:cs="仿宋_GB2312"/>
          <w:kern w:val="2"/>
          <w:sz w:val="32"/>
          <w:szCs w:val="32"/>
          <w:lang w:val="en-US" w:eastAsia="zh-CN" w:bidi="ar-SA"/>
        </w:rPr>
        <w:t>单位名称（公章）：</w:t>
      </w:r>
    </w:p>
    <w:p>
      <w:pPr>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联系人及联系方式：</w:t>
      </w:r>
    </w:p>
    <w:p>
      <w:pPr>
        <w:rPr>
          <w:rFonts w:hint="eastAsia" w:ascii="黑体" w:hAnsi="黑体" w:eastAsia="黑体" w:cs="仿宋_GB2312"/>
          <w:kern w:val="2"/>
          <w:sz w:val="32"/>
          <w:szCs w:val="32"/>
          <w:lang w:val="en-US" w:eastAsia="zh-CN" w:bidi="ar-SA"/>
        </w:rPr>
      </w:pPr>
    </w:p>
    <w:p>
      <w:pPr>
        <w:pStyle w:val="5"/>
        <w:numPr>
          <w:ilvl w:val="0"/>
          <w:numId w:val="0"/>
        </w:numPr>
        <w:ind w:left="0" w:leftChars="0"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一、项目名称：</w:t>
      </w:r>
      <w:r>
        <w:rPr>
          <w:rFonts w:hint="eastAsia" w:ascii="仿宋" w:hAnsi="仿宋" w:eastAsia="仿宋" w:cs="仿宋"/>
          <w:kern w:val="2"/>
          <w:sz w:val="32"/>
          <w:szCs w:val="32"/>
          <w:lang w:val="en-US" w:eastAsia="zh-CN" w:bidi="ar-SA"/>
        </w:rPr>
        <w:t>2024年网络安全等级保护测评项目</w:t>
      </w:r>
    </w:p>
    <w:p>
      <w:pPr>
        <w:pStyle w:val="5"/>
        <w:numPr>
          <w:ilvl w:val="0"/>
          <w:numId w:val="0"/>
        </w:numPr>
        <w:ind w:left="0" w:leftChars="0" w:firstLine="643"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b/>
          <w:bCs/>
          <w:kern w:val="2"/>
          <w:sz w:val="32"/>
          <w:szCs w:val="32"/>
          <w:lang w:val="en-US" w:eastAsia="zh-CN" w:bidi="ar-SA"/>
        </w:rPr>
        <w:t>二、预算金额：</w:t>
      </w:r>
      <w:r>
        <w:rPr>
          <w:rFonts w:hint="eastAsia" w:ascii="仿宋" w:hAnsi="仿宋" w:eastAsia="仿宋" w:cs="仿宋"/>
          <w:kern w:val="2"/>
          <w:sz w:val="32"/>
          <w:szCs w:val="32"/>
          <w:lang w:val="en-US" w:eastAsia="zh-CN" w:bidi="ar-SA"/>
        </w:rPr>
        <w:t>25万元，服务期为一年。</w:t>
      </w:r>
    </w:p>
    <w:p>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三、项目概况：</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为贯彻落实国家网络安全等级保护制度，进一步加强安徽建筑大学信息系统的整体安全防护能力，明确安徽建筑大学各信息系统的安全防护水平与国家网络安全等级保护相关要求之间的差距以及存在的安全隐患，现需对安徽建筑大学的5个信息系统进行网络安全等级保护测评服务（1个3级，4个2级），出具公安部门认可的网络安全等级保护测评报告并提供相应安全服务（渗透测试、漏洞扫描、重保服务等）。</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测评依据：</w:t>
      </w:r>
    </w:p>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《信息安全技术 网络安全等级保护基本要求》（GB/T 22239-2019） </w:t>
      </w:r>
    </w:p>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《信息安全技术 网络安全等级保护定级指南》（GB/T 22240-2020）</w:t>
      </w:r>
    </w:p>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《信息安全技术 网络安全等级保护测评要求》（GB/T 28448-2019） </w:t>
      </w:r>
    </w:p>
    <w:p>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《信息安全技术 网络安全等级保护测评过程指南》（GB∕T 28449-2018）</w:t>
      </w:r>
    </w:p>
    <w:p>
      <w:pPr>
        <w:rPr>
          <w:rFonts w:hint="eastAsia"/>
          <w:lang w:val="en-US" w:eastAsia="zh-CN"/>
        </w:rPr>
      </w:pPr>
    </w:p>
    <w:p>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四、付款方式</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服务期满后一次性付款。</w:t>
      </w:r>
    </w:p>
    <w:p>
      <w:pPr>
        <w:spacing w:line="560" w:lineRule="exact"/>
        <w:ind w:firstLine="640" w:firstLineChars="200"/>
        <w:rPr>
          <w:rFonts w:hint="eastAsia" w:ascii="仿宋" w:hAnsi="仿宋" w:eastAsia="仿宋" w:cs="仿宋"/>
          <w:sz w:val="32"/>
          <w:szCs w:val="32"/>
          <w:lang w:val="en-US" w:eastAsia="zh-CN"/>
        </w:rPr>
      </w:pPr>
    </w:p>
    <w:p>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五、服务范围及要求</w:t>
      </w:r>
    </w:p>
    <w:p>
      <w:pPr>
        <w:keepNext w:val="0"/>
        <w:keepLines w:val="0"/>
        <w:pageBreakBefore w:val="0"/>
        <w:widowControl w:val="0"/>
        <w:kinsoku/>
        <w:wordWrap/>
        <w:overflowPunct/>
        <w:topLinePunct w:val="0"/>
        <w:autoSpaceDE/>
        <w:autoSpaceDN/>
        <w:bidi w:val="0"/>
        <w:adjustRightInd/>
        <w:snapToGrid/>
        <w:spacing w:line="240" w:lineRule="auto"/>
        <w:ind w:left="319" w:leftChars="152"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（一）服务范围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项目内容为对安徽建筑大学的5个信息系统进行网络安全等级保护测评服务，出具公安部门认可的网络安全等级保护测评报告，并提供相应安全服务；被测评系统名称如下：</w:t>
      </w:r>
    </w:p>
    <w:tbl>
      <w:tblPr>
        <w:tblStyle w:val="6"/>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50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7" w:type="dxa"/>
          </w:tcPr>
          <w:p>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序号</w:t>
            </w:r>
          </w:p>
        </w:tc>
        <w:tc>
          <w:tcPr>
            <w:tcW w:w="5500" w:type="dxa"/>
          </w:tcPr>
          <w:p>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待测系统名称</w:t>
            </w:r>
          </w:p>
        </w:tc>
        <w:tc>
          <w:tcPr>
            <w:tcW w:w="2163" w:type="dxa"/>
          </w:tcPr>
          <w:p>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5500"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科研管理信息系统（省级）</w:t>
            </w:r>
          </w:p>
        </w:tc>
        <w:tc>
          <w:tcPr>
            <w:tcW w:w="2163" w:type="dxa"/>
            <w:vAlign w:val="center"/>
          </w:tcPr>
          <w:p>
            <w:pPr>
              <w:spacing w:before="240" w:after="120" w:line="480" w:lineRule="atLeas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5500"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安徽建筑大学办公自动化系统（新OA）</w:t>
            </w:r>
          </w:p>
        </w:tc>
        <w:tc>
          <w:tcPr>
            <w:tcW w:w="2163" w:type="dxa"/>
            <w:vAlign w:val="center"/>
          </w:tcPr>
          <w:p>
            <w:pPr>
              <w:spacing w:before="240" w:after="120" w:line="480" w:lineRule="atLeas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5500"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研究生管理信息系统</w:t>
            </w:r>
          </w:p>
        </w:tc>
        <w:tc>
          <w:tcPr>
            <w:tcW w:w="2163" w:type="dxa"/>
            <w:vAlign w:val="center"/>
          </w:tcPr>
          <w:p>
            <w:pPr>
              <w:spacing w:before="240" w:after="120" w:line="480" w:lineRule="atLeas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37"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5500"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综合人事管理系统</w:t>
            </w:r>
          </w:p>
        </w:tc>
        <w:tc>
          <w:tcPr>
            <w:tcW w:w="2163" w:type="dxa"/>
            <w:vAlign w:val="center"/>
          </w:tcPr>
          <w:p>
            <w:pPr>
              <w:spacing w:before="240" w:after="120" w:line="480" w:lineRule="atLeas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5500" w:type="dxa"/>
            <w:vAlign w:val="center"/>
          </w:tcPr>
          <w:p>
            <w:pPr>
              <w:spacing w:before="240" w:after="120" w:line="48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财务系统</w:t>
            </w:r>
          </w:p>
        </w:tc>
        <w:tc>
          <w:tcPr>
            <w:tcW w:w="2163" w:type="dxa"/>
            <w:vAlign w:val="center"/>
          </w:tcPr>
          <w:p>
            <w:pPr>
              <w:spacing w:before="240" w:after="120" w:line="480" w:lineRule="atLeas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bl>
    <w:p>
      <w:pPr>
        <w:pStyle w:val="5"/>
        <w:numPr>
          <w:ilvl w:val="0"/>
          <w:numId w:val="0"/>
        </w:numPr>
        <w:rPr>
          <w:rFonts w:hint="eastAsia" w:ascii="仿宋" w:hAnsi="仿宋" w:eastAsia="仿宋" w:cs="仿宋"/>
          <w:sz w:val="32"/>
          <w:szCs w:val="32"/>
          <w:lang w:val="en-US" w:eastAsia="zh-CN"/>
        </w:rPr>
      </w:pPr>
    </w:p>
    <w:p>
      <w:pPr>
        <w:numPr>
          <w:ilvl w:val="0"/>
          <w:numId w:val="1"/>
        </w:numPr>
        <w:ind w:left="638" w:leftChars="304" w:firstLine="0" w:firstLineChars="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服务总体要求</w:t>
      </w:r>
    </w:p>
    <w:p>
      <w:pPr>
        <w:keepNext w:val="0"/>
        <w:keepLines w:val="0"/>
        <w:pageBreakBefore w:val="0"/>
        <w:widowControl/>
        <w:kinsoku/>
        <w:wordWrap/>
        <w:overflowPunct/>
        <w:topLinePunct w:val="0"/>
        <w:bidi w:val="0"/>
        <w:adjustRightInd w:val="0"/>
        <w:snapToGrid w:val="0"/>
        <w:spacing w:line="240" w:lineRule="auto"/>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1、等保测评工作具体内容包括如下：</w:t>
      </w:r>
    </w:p>
    <w:p>
      <w:pPr>
        <w:keepNext w:val="0"/>
        <w:keepLines w:val="0"/>
        <w:pageBreakBefore w:val="0"/>
        <w:widowControl/>
        <w:kinsoku/>
        <w:wordWrap/>
        <w:overflowPunct/>
        <w:topLinePunct w:val="0"/>
        <w:bidi w:val="0"/>
        <w:adjustRightInd w:val="0"/>
        <w:snapToGrid w:val="0"/>
        <w:spacing w:line="240" w:lineRule="auto"/>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（1）测评范围</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安全技术测评：对采购人被测系统涉及的安全物理环境、安全通信网络、安全区域边界、安全计算环境、安全管理中心等技术层面进行现场测评和差距分析，记录相关的测评结果。</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安全管理测评：对采购人安全管理机构、安全管理制度、安全人员管理、安全建设管理、安全运维管理等管理层面进行现场测评和差距分析，记录相关的测评结果。</w:t>
      </w:r>
    </w:p>
    <w:p>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（2）形成差距分析报告</w:t>
      </w:r>
    </w:p>
    <w:p>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    依据测评结果和测评标准，对</w:t>
      </w:r>
      <w:r>
        <w:rPr>
          <w:rFonts w:hint="eastAsia" w:ascii="仿宋" w:hAnsi="仿宋" w:eastAsia="仿宋" w:cs="仿宋"/>
          <w:color w:val="000000"/>
          <w:kern w:val="2"/>
          <w:sz w:val="32"/>
          <w:szCs w:val="32"/>
          <w:lang w:val="zh-CN" w:eastAsia="zh-CN" w:bidi="ar-SA"/>
        </w:rPr>
        <w:t>安徽建筑大学</w:t>
      </w:r>
      <w:r>
        <w:rPr>
          <w:rFonts w:hint="eastAsia" w:ascii="仿宋" w:hAnsi="仿宋" w:eastAsia="仿宋" w:cs="仿宋"/>
          <w:color w:val="000000"/>
          <w:kern w:val="2"/>
          <w:sz w:val="32"/>
          <w:szCs w:val="32"/>
          <w:lang w:val="en-US" w:eastAsia="zh-CN" w:bidi="ar-SA"/>
        </w:rPr>
        <w:t>被测评系统进行安全现状分析，形成相应的差距分析报告，为下阶段开展整改工作提供依据。</w:t>
      </w:r>
    </w:p>
    <w:p>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（3）编制整改建议书</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依据测评标准，结合差距分析报告，编制针对</w:t>
      </w:r>
      <w:r>
        <w:rPr>
          <w:rFonts w:hint="eastAsia" w:ascii="仿宋" w:hAnsi="仿宋" w:eastAsia="仿宋" w:cs="仿宋"/>
          <w:color w:val="000000"/>
          <w:kern w:val="2"/>
          <w:sz w:val="32"/>
          <w:szCs w:val="32"/>
          <w:lang w:val="zh-CN" w:eastAsia="zh-CN" w:bidi="ar-SA"/>
        </w:rPr>
        <w:t>安徽建筑大学</w:t>
      </w:r>
      <w:r>
        <w:rPr>
          <w:rFonts w:hint="eastAsia" w:ascii="仿宋" w:hAnsi="仿宋" w:eastAsia="仿宋" w:cs="仿宋"/>
          <w:color w:val="000000"/>
          <w:kern w:val="2"/>
          <w:sz w:val="32"/>
          <w:szCs w:val="32"/>
          <w:lang w:val="en-US" w:eastAsia="zh-CN" w:bidi="ar-SA"/>
        </w:rPr>
        <w:t>被测评系统的整改建议书。</w:t>
      </w:r>
    </w:p>
    <w:p>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（4）形成等级测评结论及测评报告提交</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完成上述等保测评工作和整改后，由中标人出具符合标准要求的《等级保护测评报告》。</w:t>
      </w:r>
    </w:p>
    <w:p>
      <w:pPr>
        <w:pStyle w:val="9"/>
        <w:keepNext w:val="0"/>
        <w:keepLines w:val="0"/>
        <w:pageBreakBefore w:val="0"/>
        <w:numPr>
          <w:ilvl w:val="0"/>
          <w:numId w:val="2"/>
        </w:numPr>
        <w:kinsoku/>
        <w:wordWrap/>
        <w:overflowPunct/>
        <w:topLinePunct w:val="0"/>
        <w:bidi w:val="0"/>
        <w:spacing w:line="240" w:lineRule="auto"/>
        <w:ind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安全服务工作具体内容包括如下：</w:t>
      </w:r>
      <w:bookmarkStart w:id="0" w:name="_Toc72507548"/>
    </w:p>
    <w:p>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（1）漏洞检测服务（2次）</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提供全网服务器主机漏洞扫描，利用漏洞扫描工具主动发现系统、主机存在的脆弱性，能对服务范围内的系统和网络进行安全扫描，从内网和外网两个角度来查找网络设备、服务器主机、数据和用户账号/口令等扫描对象中存在的安全风险、漏洞等。漏扫服务发现的漏洞需站在业务视角进行梳理分析，提供专业有效的解决方案，并配合进行漏洞整改方案的实施。</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漏洞扫描类型需包含：</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操作系统</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数据库</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常见应用服务</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Web应用程序</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网络设备及安全设备</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 服务器</w:t>
      </w:r>
    </w:p>
    <w:p>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电子邮件系统</w:t>
      </w:r>
    </w:p>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每次漏扫服务实施完成后5个工作日内，中标人需向采购人提供：《XXX 漏扫测试服务报告》。</w:t>
      </w:r>
    </w:p>
    <w:bookmarkEnd w:id="0"/>
    <w:p>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漏洞检测服务主要是使用专业的漏洞评估产品及人工验证方式，检测操作系统、数据库和应用服务中存在的安全漏洞，提供漏洞评估报告和修复建议,共2次</w:t>
      </w:r>
    </w:p>
    <w:p>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（2）渗透测试服务（2次）</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由安全工程师模拟黑客的行为模式，采用黑客的漏洞发现和利用技术，以及尽可能多的攻击方法，对目标应用系统的安全性进行深入分析。渗透测试对象包括互联网应用服务系统（WEB系统）以及相关的其他系统。对WEB系统的渗透测试，需要在互联网网络的任一位置进行渗透测试；对内部系统的渗透测试，必须在内部办公网络进行渗透测试并提供渗透测试报告。</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漏洞类型包含不限于：</w:t>
      </w:r>
    </w:p>
    <w:p>
      <w:pPr>
        <w:pStyle w:val="2"/>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跨站脚本</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SQL注入</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代码执行</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目录遍历</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文件包含</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脚本源码泄露</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物理路径泄漏</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应用错误信息</w:t>
      </w:r>
    </w:p>
    <w:p>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备份文件</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渗透手段包含不限于：</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 WINDOWS、LINUX 等操作系统本身进行渗透测；</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 ORACLE、MYSQL 等数据库应用系统进行渗透测试；</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 应用系统渗透；</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网络设备渗透，对各种防火墙、入侵检测系统、网络设备进行渗透测试；</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对系统业务进行渗透，对系统的核心业务进行安全风险挖掘；</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口令猜解；</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其它渗透，除了上述的测试手段以外的技术测试手段。</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每次渗透测试服务实施完成后5工作日内，中标人需向采购人提供《XXX系统渗透测试报告》。</w:t>
      </w:r>
    </w:p>
    <w:p>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（3）网络安全培训服务（2次）</w:t>
      </w:r>
    </w:p>
    <w:p>
      <w:pPr>
        <w:pStyle w:val="2"/>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投标人需要为采购人提供线上或线下的信息安全技术培训， 由具备专业培训资格的讲师参考国家重要信息系统安全保障人员（CIIPT）、注册信息安全专业人员（CISP）、网络安全能力认证培训人员（CCSC）、信息安全保障人员（CISAW）等安全技能培训认证课程内容授课，确保管理人员和技术人员掌握关于信息系统等级保护相关规范、信息安全策略、信息保密制度，信息安全管理制度和相关流程等。（一次意识培训，一次技术培训）</w:t>
      </w:r>
    </w:p>
    <w:p>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（4）应急演练（1次）</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依据法律法规、国际国内标准、行业监管要求等，在总体预案框架下，从业务层面、技术层面，并充分考虑各类灾难场景，帮助客户制定各类应急预案，提升各类突然事件的应急响应速度，保证业务及信息系统正常运行。网络安全应急演练保障活动共分为启动阶段、准备阶段、演练阶段、保障阶段、总结阶段五个阶段，具体工作安排计划如下：</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启动阶段：确定演练目标、人员团队职责划分、演练总体流程，后续工作提供指导。</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准备阶段：需对演练目标进行安全分析和梳理，开展全面安全评估、关注现有安全能力、完成安全策略的全面优化、人员的全面赋能等。</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演练阶段：重点检测演练系统的监测手段和防御手段的有效性及安全人员操作规程熟悉度。</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保障阶段：为保障业务系统的平稳运行，避免因安全问题而导致出现重大事故。</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总结阶段：对行动中发现的相关问题进行快速整改并进行总结，将经验固化至相关的规章制度中，形成常态化、制度化。</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每次应急演练服务实施完成后5工作日内，中标人需向采购人提供《应急演练报告》。</w:t>
      </w:r>
    </w:p>
    <w:p>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（5）重要安全保障服务</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根据要求提供重要时期安全保障服务的服务支持，包括互联网侧风险排查、内部网络风险排查、现场值守服务；</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重保期间实时关注安全设备和态势感知平台的攻击事件，对于未拦截高、中危的攻击事件，及时更新或优化安全策略；不能确认的攻击行为，及时联系安全厂商进行研判。对于安全设备访问和流量日志，如果出现频繁访问某一源IP地址，向客户确认后，进行手工阻断处理。</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重要安全保障服务工作量：一人值守，不少于2次，总共不少于7天。</w:t>
      </w:r>
    </w:p>
    <w:p>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每次重要安全保障服务完成后5个工作日内，中标人需向采购人提供：《XXXXX 重要时期安全保障日报》、《XXXXX 重要时期安全保障工作总结》。</w:t>
      </w:r>
    </w:p>
    <w:p>
      <w:pPr>
        <w:numPr>
          <w:ilvl w:val="0"/>
          <w:numId w:val="0"/>
        </w:numPr>
        <w:rPr>
          <w:rFonts w:hint="default"/>
          <w:lang w:val="en-US" w:eastAsia="zh-CN"/>
        </w:rPr>
      </w:pPr>
    </w:p>
    <w:p>
      <w:pPr>
        <w:pStyle w:val="5"/>
        <w:rPr>
          <w:rFonts w:hint="eastAsia" w:ascii="宋体" w:hAnsi="宋体" w:cs="宋体" w:eastAsiaTheme="minorEastAsia"/>
          <w:b/>
          <w:bCs/>
          <w:kern w:val="2"/>
          <w:sz w:val="32"/>
          <w:szCs w:val="32"/>
          <w:lang w:val="en-US" w:eastAsia="zh-CN" w:bidi="ar-SA"/>
        </w:rPr>
      </w:pPr>
      <w:r>
        <w:rPr>
          <w:rFonts w:hint="eastAsia" w:ascii="宋体" w:hAnsi="宋体" w:cs="宋体" w:eastAsiaTheme="minorEastAsia"/>
          <w:b/>
          <w:bCs/>
          <w:kern w:val="2"/>
          <w:sz w:val="32"/>
          <w:szCs w:val="32"/>
          <w:lang w:val="en-US" w:eastAsia="zh-CN" w:bidi="ar-SA"/>
        </w:rPr>
        <w:t>（</w:t>
      </w:r>
      <w:r>
        <w:rPr>
          <w:rFonts w:hint="eastAsia" w:ascii="宋体" w:hAnsi="宋体" w:cs="宋体"/>
          <w:b/>
          <w:bCs/>
          <w:kern w:val="2"/>
          <w:sz w:val="32"/>
          <w:szCs w:val="32"/>
          <w:lang w:val="en-US" w:eastAsia="zh-CN" w:bidi="ar-SA"/>
        </w:rPr>
        <w:t>三</w:t>
      </w:r>
      <w:r>
        <w:rPr>
          <w:rFonts w:hint="eastAsia" w:ascii="宋体" w:hAnsi="宋体" w:cs="宋体" w:eastAsiaTheme="minorEastAsia"/>
          <w:b/>
          <w:bCs/>
          <w:kern w:val="2"/>
          <w:sz w:val="32"/>
          <w:szCs w:val="32"/>
          <w:lang w:val="en-US" w:eastAsia="zh-CN" w:bidi="ar-SA"/>
        </w:rPr>
        <w:t>）考核要求</w:t>
      </w:r>
    </w:p>
    <w:p>
      <w:pPr>
        <w:spacing w:before="240" w:after="120" w:line="480" w:lineRule="atLeast"/>
        <w:ind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中标人按招标文件要求，完成等保评测规定的工作内容，提供相关过程文档，能够出具符合要求的结果报告。</w:t>
      </w:r>
    </w:p>
    <w:tbl>
      <w:tblPr>
        <w:tblStyle w:val="6"/>
        <w:tblW w:w="7614" w:type="dxa"/>
        <w:jc w:val="center"/>
        <w:tblLayout w:type="fixed"/>
        <w:tblCellMar>
          <w:top w:w="0" w:type="dxa"/>
          <w:left w:w="0" w:type="dxa"/>
          <w:bottom w:w="0" w:type="dxa"/>
          <w:right w:w="0" w:type="dxa"/>
        </w:tblCellMar>
      </w:tblPr>
      <w:tblGrid>
        <w:gridCol w:w="3098"/>
        <w:gridCol w:w="4516"/>
      </w:tblGrid>
      <w:tr>
        <w:tblPrEx>
          <w:tblCellMar>
            <w:top w:w="0" w:type="dxa"/>
            <w:left w:w="0" w:type="dxa"/>
            <w:bottom w:w="0" w:type="dxa"/>
            <w:right w:w="0" w:type="dxa"/>
          </w:tblCellMar>
        </w:tblPrEx>
        <w:trPr>
          <w:trHeight w:val="460" w:hRule="atLeast"/>
          <w:jc w:val="center"/>
        </w:trPr>
        <w:tc>
          <w:tcPr>
            <w:tcW w:w="3098" w:type="dxa"/>
            <w:tcBorders>
              <w:top w:val="single" w:color="000000" w:sz="6" w:space="0"/>
              <w:left w:val="single" w:color="000000" w:sz="6" w:space="0"/>
              <w:bottom w:val="single" w:color="000000" w:sz="6" w:space="0"/>
              <w:right w:val="single" w:color="000000" w:sz="6" w:space="0"/>
            </w:tcBorders>
          </w:tcPr>
          <w:p>
            <w:pPr>
              <w:pStyle w:val="10"/>
              <w:kinsoku w:val="0"/>
              <w:overflowPunct w:val="0"/>
              <w:spacing w:before="91" w:line="360" w:lineRule="auto"/>
              <w:ind w:left="1071" w:right="921"/>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时间段 </w:t>
            </w:r>
          </w:p>
        </w:tc>
        <w:tc>
          <w:tcPr>
            <w:tcW w:w="4516" w:type="dxa"/>
            <w:tcBorders>
              <w:top w:val="single" w:color="000000" w:sz="6" w:space="0"/>
              <w:left w:val="single" w:color="000000" w:sz="6" w:space="0"/>
              <w:bottom w:val="single" w:color="000000" w:sz="6" w:space="0"/>
              <w:right w:val="single" w:color="000000" w:sz="6" w:space="0"/>
            </w:tcBorders>
          </w:tcPr>
          <w:p>
            <w:pPr>
              <w:pStyle w:val="10"/>
              <w:kinsoku w:val="0"/>
              <w:overflowPunct w:val="0"/>
              <w:spacing w:before="91" w:line="360" w:lineRule="auto"/>
              <w:ind w:left="284" w:right="133"/>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提交文档 </w:t>
            </w:r>
          </w:p>
        </w:tc>
      </w:tr>
      <w:tr>
        <w:tblPrEx>
          <w:tblCellMar>
            <w:top w:w="0" w:type="dxa"/>
            <w:left w:w="0" w:type="dxa"/>
            <w:bottom w:w="0" w:type="dxa"/>
            <w:right w:w="0" w:type="dxa"/>
          </w:tblCellMar>
        </w:tblPrEx>
        <w:trPr>
          <w:trHeight w:val="936"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line="360" w:lineRule="auto"/>
              <w:ind w:left="1072" w:right="907"/>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签订合同后</w:t>
            </w:r>
          </w:p>
        </w:tc>
        <w:tc>
          <w:tcPr>
            <w:tcW w:w="4516"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before="91" w:line="36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《测评服务技术方案》</w:t>
            </w:r>
          </w:p>
          <w:p>
            <w:pPr>
              <w:pStyle w:val="10"/>
              <w:kinsoku w:val="0"/>
              <w:overflowPunct w:val="0"/>
              <w:spacing w:before="168" w:line="36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《测评服务工作计划表》</w:t>
            </w:r>
          </w:p>
        </w:tc>
      </w:tr>
      <w:tr>
        <w:tblPrEx>
          <w:tblCellMar>
            <w:top w:w="0" w:type="dxa"/>
            <w:left w:w="0" w:type="dxa"/>
            <w:bottom w:w="0" w:type="dxa"/>
            <w:right w:w="0" w:type="dxa"/>
          </w:tblCellMar>
        </w:tblPrEx>
        <w:trPr>
          <w:trHeight w:val="1411"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line="360" w:lineRule="auto"/>
              <w:ind w:left="1072" w:right="921"/>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差距测评阶段</w:t>
            </w:r>
          </w:p>
        </w:tc>
        <w:tc>
          <w:tcPr>
            <w:tcW w:w="4516"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before="91" w:line="360" w:lineRule="auto"/>
              <w:ind w:right="133"/>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《等级保护差距分析报告》</w:t>
            </w:r>
          </w:p>
          <w:p>
            <w:pPr>
              <w:pStyle w:val="10"/>
              <w:kinsoku w:val="0"/>
              <w:overflowPunct w:val="0"/>
              <w:spacing w:before="168" w:line="360" w:lineRule="auto"/>
              <w:ind w:right="132"/>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《整改建议书》</w:t>
            </w:r>
          </w:p>
          <w:p>
            <w:pPr>
              <w:pStyle w:val="10"/>
              <w:kinsoku w:val="0"/>
              <w:overflowPunct w:val="0"/>
              <w:spacing w:before="154" w:line="360" w:lineRule="auto"/>
              <w:ind w:right="132"/>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符合等级保护要求的各项安全管理制度</w:t>
            </w:r>
          </w:p>
        </w:tc>
      </w:tr>
      <w:tr>
        <w:tblPrEx>
          <w:tblCellMar>
            <w:top w:w="0" w:type="dxa"/>
            <w:left w:w="0" w:type="dxa"/>
            <w:bottom w:w="0" w:type="dxa"/>
            <w:right w:w="0" w:type="dxa"/>
          </w:tblCellMar>
        </w:tblPrEx>
        <w:trPr>
          <w:trHeight w:val="460"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before="91" w:line="360" w:lineRule="auto"/>
              <w:ind w:left="1072" w:right="921"/>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等保测评验收</w:t>
            </w:r>
          </w:p>
        </w:tc>
        <w:tc>
          <w:tcPr>
            <w:tcW w:w="4516" w:type="dxa"/>
            <w:tcBorders>
              <w:top w:val="single" w:color="000000" w:sz="6" w:space="0"/>
              <w:left w:val="single" w:color="000000" w:sz="6" w:space="0"/>
              <w:bottom w:val="single" w:color="000000" w:sz="6" w:space="0"/>
              <w:right w:val="single" w:color="000000" w:sz="6" w:space="0"/>
            </w:tcBorders>
            <w:vAlign w:val="center"/>
          </w:tcPr>
          <w:p>
            <w:pPr>
              <w:pStyle w:val="10"/>
              <w:kinsoku w:val="0"/>
              <w:overflowPunct w:val="0"/>
              <w:spacing w:before="91" w:line="360" w:lineRule="auto"/>
              <w:ind w:right="133"/>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符合公安机关要求的《等级保护测评报告》</w:t>
            </w:r>
          </w:p>
        </w:tc>
      </w:tr>
    </w:tbl>
    <w:p>
      <w:pPr>
        <w:spacing w:line="360" w:lineRule="auto"/>
        <w:rPr>
          <w:rFonts w:hint="default" w:ascii="仿宋" w:hAnsi="仿宋" w:eastAsia="仿宋" w:cs="仿宋"/>
          <w:color w:val="000000"/>
          <w:kern w:val="2"/>
          <w:sz w:val="28"/>
          <w:szCs w:val="28"/>
          <w:lang w:val="en-US" w:eastAsia="zh-CN" w:bidi="ar-SA"/>
        </w:rPr>
      </w:pPr>
    </w:p>
    <w:p>
      <w:pPr>
        <w:numPr>
          <w:ilvl w:val="0"/>
          <w:numId w:val="6"/>
        </w:numPr>
        <w:spacing w:line="560" w:lineRule="exact"/>
        <w:ind w:firstLine="643" w:firstLineChars="200"/>
        <w:rPr>
          <w:rFonts w:hint="eastAsia" w:ascii="仿宋" w:hAnsi="仿宋" w:eastAsia="仿宋" w:cs="仿宋"/>
          <w:b/>
          <w:bCs/>
          <w:sz w:val="32"/>
          <w:szCs w:val="32"/>
        </w:rPr>
      </w:pPr>
      <w:r>
        <w:rPr>
          <w:rFonts w:hint="eastAsia" w:ascii="仿宋" w:hAnsi="仿宋" w:eastAsia="仿宋" w:cs="方正仿宋_GB2312"/>
          <w:b/>
          <w:bCs w:val="0"/>
          <w:sz w:val="32"/>
          <w:szCs w:val="32"/>
        </w:rPr>
        <w:t>商务部分调研</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各</w:t>
      </w:r>
      <w:r>
        <w:rPr>
          <w:rFonts w:hint="eastAsia" w:ascii="仿宋" w:hAnsi="仿宋" w:eastAsia="仿宋" w:cs="仿宋"/>
          <w:b/>
          <w:bCs w:val="0"/>
          <w:sz w:val="32"/>
          <w:szCs w:val="32"/>
        </w:rPr>
        <w:t>单</w:t>
      </w:r>
      <w:r>
        <w:rPr>
          <w:rFonts w:hint="eastAsia" w:ascii="仿宋" w:hAnsi="仿宋" w:eastAsia="仿宋" w:cs="仿宋"/>
          <w:b/>
          <w:bCs/>
          <w:sz w:val="32"/>
          <w:szCs w:val="32"/>
        </w:rPr>
        <w:t>位请根据本单位实际情况填写】</w:t>
      </w:r>
    </w:p>
    <w:tbl>
      <w:tblPr>
        <w:tblStyle w:val="6"/>
        <w:tblW w:w="7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734"/>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 w:val="24"/>
              </w:rPr>
            </w:pPr>
            <w:r>
              <w:rPr>
                <w:rFonts w:hint="eastAsia" w:ascii="宋体" w:hAnsi="宋体" w:cs="Times New Roman"/>
                <w:b/>
                <w:bCs/>
                <w:sz w:val="24"/>
              </w:rPr>
              <w:t>评分内容</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 w:val="24"/>
              </w:rPr>
            </w:pPr>
            <w:r>
              <w:rPr>
                <w:rFonts w:hint="eastAsia" w:ascii="宋体" w:hAnsi="宋体" w:cs="Times New Roman"/>
                <w:b/>
                <w:bCs/>
                <w:sz w:val="24"/>
              </w:rPr>
              <w:t>评分标准</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auto"/>
                <w:sz w:val="24"/>
              </w:rPr>
            </w:pPr>
            <w:r>
              <w:rPr>
                <w:rFonts w:hint="eastAsia" w:ascii="宋体" w:hAnsi="宋体" w:cs="Times New Roman"/>
                <w:color w:val="auto"/>
                <w:sz w:val="24"/>
              </w:rPr>
              <w:t>项目人员</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560" w:lineRule="exact"/>
              <w:rPr>
                <w:rFonts w:hint="eastAsia" w:ascii="宋体" w:hAnsi="宋体" w:cs="Times New Roman"/>
                <w:sz w:val="24"/>
                <w:lang w:eastAsia="zh-CN"/>
              </w:rPr>
            </w:pPr>
            <w:r>
              <w:rPr>
                <w:rFonts w:ascii="宋体" w:hAnsi="宋体" w:cs="Times New Roman"/>
                <w:sz w:val="24"/>
              </w:rPr>
              <w:t>投标人针对本项目需求拟配备的项目团队应设置质量经理、项目经理等，具体评审指标如下</w:t>
            </w:r>
            <w:r>
              <w:rPr>
                <w:rFonts w:hint="eastAsia" w:ascii="宋体" w:hAnsi="宋体" w:cs="Times New Roman"/>
                <w:sz w:val="24"/>
                <w:lang w:eastAsia="zh-CN"/>
              </w:rPr>
              <w:t>：</w:t>
            </w:r>
          </w:p>
          <w:p>
            <w:pPr>
              <w:numPr>
                <w:ilvl w:val="0"/>
                <w:numId w:val="7"/>
              </w:numPr>
              <w:ind w:left="425" w:leftChars="0" w:hanging="425" w:firstLineChars="0"/>
              <w:jc w:val="left"/>
              <w:rPr>
                <w:rFonts w:hint="eastAsia" w:ascii="宋体" w:hAnsi="宋体" w:cs="Times New Roman"/>
                <w:sz w:val="24"/>
                <w:lang w:eastAsia="zh-CN"/>
              </w:rPr>
            </w:pPr>
            <w:r>
              <w:rPr>
                <w:rFonts w:hint="eastAsia" w:ascii="宋体" w:hAnsi="宋体" w:cs="Times New Roman"/>
                <w:sz w:val="24"/>
                <w:lang w:val="en-US" w:eastAsia="zh-CN"/>
              </w:rPr>
              <w:t>质量经理：</w:t>
            </w:r>
          </w:p>
          <w:p>
            <w:pPr>
              <w:numPr>
                <w:ilvl w:val="0"/>
                <w:numId w:val="0"/>
              </w:numPr>
              <w:jc w:val="left"/>
              <w:rPr>
                <w:rFonts w:hint="eastAsia" w:ascii="宋体" w:hAnsi="宋体" w:eastAsia="宋体" w:cs="Times New Roman"/>
                <w:sz w:val="24"/>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具有高级等级测评师证书</w:t>
            </w:r>
            <w:r>
              <w:rPr>
                <w:rFonts w:hint="eastAsia" w:ascii="宋体" w:hAnsi="宋体" w:eastAsia="宋体"/>
                <w:sz w:val="24"/>
                <w:szCs w:val="24"/>
                <w:highlight w:val="none"/>
                <w:lang w:eastAsia="zh-CN"/>
              </w:rPr>
              <w:t>；</w:t>
            </w:r>
          </w:p>
          <w:p>
            <w:pPr>
              <w:numPr>
                <w:ilvl w:val="0"/>
                <w:numId w:val="0"/>
              </w:numPr>
              <w:jc w:val="left"/>
              <w:rPr>
                <w:rFonts w:ascii="宋体" w:hAnsi="宋体" w:cs="Times New Roman"/>
                <w:sz w:val="24"/>
              </w:rPr>
            </w:pPr>
          </w:p>
          <w:p>
            <w:pPr>
              <w:numPr>
                <w:ilvl w:val="0"/>
                <w:numId w:val="0"/>
              </w:numPr>
              <w:jc w:val="left"/>
              <w:rPr>
                <w:rFonts w:hint="eastAsia" w:ascii="宋体" w:hAnsi="宋体" w:eastAsia="宋体" w:cs="Times New Roman"/>
                <w:sz w:val="24"/>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具有注册信息安全专业人员（</w:t>
            </w:r>
            <w:r>
              <w:rPr>
                <w:rFonts w:ascii="宋体" w:hAnsi="宋体" w:eastAsia="宋体"/>
                <w:sz w:val="24"/>
                <w:szCs w:val="24"/>
                <w:highlight w:val="none"/>
              </w:rPr>
              <w:t>CISP）证书</w:t>
            </w:r>
            <w:r>
              <w:rPr>
                <w:rFonts w:hint="eastAsia" w:ascii="宋体" w:hAnsi="宋体" w:eastAsia="宋体"/>
                <w:sz w:val="24"/>
                <w:szCs w:val="24"/>
                <w:highlight w:val="none"/>
                <w:lang w:eastAsia="zh-CN"/>
              </w:rPr>
              <w:t>；</w:t>
            </w:r>
          </w:p>
          <w:p>
            <w:pPr>
              <w:numPr>
                <w:ilvl w:val="0"/>
                <w:numId w:val="0"/>
              </w:numPr>
              <w:jc w:val="left"/>
              <w:rPr>
                <w:rFonts w:ascii="宋体" w:hAnsi="宋体" w:cs="Times New Roman"/>
                <w:sz w:val="24"/>
              </w:rPr>
            </w:pPr>
          </w:p>
          <w:p>
            <w:pPr>
              <w:pStyle w:val="2"/>
              <w:numPr>
                <w:ilvl w:val="0"/>
                <w:numId w:val="7"/>
              </w:numPr>
              <w:ind w:left="425" w:leftChars="0" w:hanging="425" w:firstLineChars="0"/>
            </w:pPr>
            <w:r>
              <w:rPr>
                <w:rFonts w:hint="eastAsia" w:hAnsi="宋体" w:cs="Times New Roman"/>
                <w:sz w:val="24"/>
                <w:lang w:val="en-US" w:eastAsia="zh-CN"/>
              </w:rPr>
              <w:t>项目经理：</w:t>
            </w:r>
          </w:p>
          <w:p>
            <w:pPr>
              <w:numPr>
                <w:ilvl w:val="0"/>
                <w:numId w:val="0"/>
              </w:numPr>
              <w:jc w:val="left"/>
              <w:rPr>
                <w:rFonts w:hint="eastAsia" w:ascii="宋体" w:hAnsi="宋体" w:eastAsia="宋体" w:cs="Times New Roman"/>
                <w:sz w:val="24"/>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具有高级测评师证书</w:t>
            </w:r>
            <w:r>
              <w:rPr>
                <w:rFonts w:hint="eastAsia" w:ascii="宋体" w:hAnsi="宋体" w:eastAsia="宋体"/>
                <w:sz w:val="24"/>
                <w:szCs w:val="24"/>
                <w:highlight w:val="none"/>
                <w:lang w:eastAsia="zh-CN"/>
              </w:rPr>
              <w:t>；</w:t>
            </w:r>
          </w:p>
          <w:p>
            <w:pPr>
              <w:numPr>
                <w:ilvl w:val="0"/>
                <w:numId w:val="0"/>
              </w:numPr>
              <w:jc w:val="left"/>
              <w:rPr>
                <w:rFonts w:ascii="宋体" w:hAnsi="宋体" w:cs="Times New Roman"/>
                <w:sz w:val="24"/>
              </w:rPr>
            </w:pPr>
          </w:p>
          <w:p>
            <w:pPr>
              <w:numPr>
                <w:ilvl w:val="0"/>
                <w:numId w:val="0"/>
              </w:numPr>
              <w:jc w:val="left"/>
              <w:rPr>
                <w:rFonts w:hint="eastAsia" w:ascii="宋体" w:hAnsi="宋体" w:eastAsia="宋体"/>
                <w:color w:val="auto"/>
                <w:sz w:val="24"/>
                <w:szCs w:val="24"/>
                <w:highlight w:val="none"/>
                <w:lang w:eastAsia="zh-CN"/>
              </w:rPr>
            </w:pPr>
            <w:r>
              <w:rPr>
                <w:rFonts w:hint="eastAsia" w:ascii="宋体" w:hAnsi="宋体" w:cs="Times New Roman"/>
                <w:sz w:val="24"/>
                <w:lang w:val="en-US" w:eastAsia="zh-CN"/>
              </w:rPr>
              <w:t>是否</w:t>
            </w:r>
            <w:r>
              <w:rPr>
                <w:rFonts w:hint="eastAsia" w:ascii="宋体" w:hAnsi="宋体" w:eastAsia="宋体"/>
                <w:color w:val="auto"/>
                <w:sz w:val="24"/>
                <w:szCs w:val="24"/>
                <w:highlight w:val="none"/>
              </w:rPr>
              <w:t>具有信息安全保障人员认证（</w:t>
            </w:r>
            <w:r>
              <w:rPr>
                <w:rFonts w:ascii="宋体" w:hAnsi="宋体" w:eastAsia="宋体"/>
                <w:color w:val="auto"/>
                <w:sz w:val="24"/>
                <w:szCs w:val="24"/>
                <w:highlight w:val="none"/>
              </w:rPr>
              <w:t>CISAW）证书</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具有注册信息安全专业人员（</w:t>
            </w:r>
            <w:r>
              <w:rPr>
                <w:rFonts w:ascii="宋体" w:hAnsi="宋体" w:eastAsia="宋体"/>
                <w:color w:val="auto"/>
                <w:sz w:val="24"/>
                <w:szCs w:val="24"/>
                <w:highlight w:val="none"/>
              </w:rPr>
              <w:t>CISP）证书</w:t>
            </w:r>
            <w:r>
              <w:rPr>
                <w:rFonts w:hint="eastAsia" w:ascii="宋体" w:hAnsi="宋体" w:eastAsia="宋体"/>
                <w:color w:val="auto"/>
                <w:sz w:val="24"/>
                <w:szCs w:val="24"/>
                <w:highlight w:val="none"/>
                <w:lang w:eastAsia="zh-CN"/>
              </w:rPr>
              <w:t>；</w:t>
            </w:r>
          </w:p>
          <w:p>
            <w:pPr>
              <w:pStyle w:val="2"/>
              <w:rPr>
                <w:rFonts w:hint="eastAsia" w:ascii="宋体" w:hAnsi="宋体" w:eastAsia="宋体"/>
                <w:color w:val="auto"/>
                <w:sz w:val="24"/>
                <w:szCs w:val="24"/>
                <w:highlight w:val="none"/>
                <w:lang w:eastAsia="zh-CN"/>
              </w:rPr>
            </w:pPr>
          </w:p>
          <w:p>
            <w:pPr>
              <w:pStyle w:val="2"/>
              <w:numPr>
                <w:ilvl w:val="0"/>
                <w:numId w:val="7"/>
              </w:numPr>
              <w:ind w:left="425" w:leftChars="0" w:hanging="425" w:firstLineChars="0"/>
              <w:rPr>
                <w:rFonts w:hint="eastAsia" w:ascii="宋体" w:hAnsi="宋体" w:eastAsia="宋体"/>
                <w:color w:val="auto"/>
                <w:sz w:val="24"/>
                <w:szCs w:val="24"/>
                <w:highlight w:val="none"/>
                <w:lang w:eastAsia="zh-CN"/>
              </w:rPr>
            </w:pPr>
            <w:r>
              <w:rPr>
                <w:rFonts w:ascii="宋体" w:hAnsi="宋体" w:eastAsia="宋体"/>
                <w:sz w:val="24"/>
                <w:szCs w:val="24"/>
                <w:highlight w:val="none"/>
              </w:rPr>
              <w:t>团队成员</w:t>
            </w:r>
            <w:r>
              <w:rPr>
                <w:rFonts w:hint="eastAsia" w:hAnsi="宋体"/>
                <w:sz w:val="24"/>
                <w:szCs w:val="24"/>
                <w:highlight w:val="none"/>
                <w:lang w:eastAsia="zh-CN"/>
              </w:rPr>
              <w:t>（</w:t>
            </w:r>
            <w:r>
              <w:rPr>
                <w:rFonts w:ascii="宋体" w:hAnsi="宋体" w:eastAsia="宋体"/>
                <w:sz w:val="24"/>
                <w:szCs w:val="24"/>
                <w:highlight w:val="none"/>
              </w:rPr>
              <w:t>最少2人</w:t>
            </w:r>
            <w:r>
              <w:rPr>
                <w:rFonts w:hint="eastAsia" w:hAnsi="宋体"/>
                <w:sz w:val="24"/>
                <w:szCs w:val="24"/>
                <w:highlight w:val="none"/>
                <w:lang w:eastAsia="zh-CN"/>
              </w:rPr>
              <w:t>）：</w:t>
            </w:r>
          </w:p>
          <w:p>
            <w:pPr>
              <w:pStyle w:val="2"/>
              <w:numPr>
                <w:ilvl w:val="0"/>
                <w:numId w:val="0"/>
              </w:numPr>
              <w:ind w:leftChars="0"/>
              <w:rPr>
                <w:rFonts w:hint="eastAsia" w:hAnsi="宋体"/>
                <w:sz w:val="24"/>
                <w:szCs w:val="24"/>
                <w:highlight w:val="none"/>
                <w:lang w:eastAsia="zh-CN"/>
              </w:rPr>
            </w:pPr>
            <w:r>
              <w:rPr>
                <w:rFonts w:hint="eastAsia" w:hAnsi="宋体"/>
                <w:color w:val="auto"/>
                <w:sz w:val="24"/>
                <w:szCs w:val="24"/>
                <w:highlight w:val="none"/>
                <w:lang w:val="en-US" w:eastAsia="zh-CN"/>
              </w:rPr>
              <w:t>是否全部</w:t>
            </w:r>
            <w:r>
              <w:rPr>
                <w:rFonts w:ascii="宋体" w:hAnsi="宋体" w:eastAsia="宋体"/>
                <w:sz w:val="24"/>
                <w:szCs w:val="24"/>
                <w:highlight w:val="none"/>
              </w:rPr>
              <w:t>具有初级（含）以上等级测评师证书</w:t>
            </w:r>
            <w:r>
              <w:rPr>
                <w:rFonts w:hint="eastAsia" w:hAnsi="宋体"/>
                <w:sz w:val="24"/>
                <w:szCs w:val="24"/>
                <w:highlight w:val="none"/>
                <w:lang w:eastAsia="zh-CN"/>
              </w:rPr>
              <w:t>；</w:t>
            </w:r>
          </w:p>
          <w:p>
            <w:pPr>
              <w:pStyle w:val="2"/>
              <w:numPr>
                <w:ilvl w:val="0"/>
                <w:numId w:val="0"/>
              </w:numPr>
              <w:ind w:leftChars="0"/>
              <w:rPr>
                <w:rFonts w:hint="eastAsia" w:hAnsi="宋体"/>
                <w:sz w:val="24"/>
                <w:szCs w:val="24"/>
                <w:highlight w:val="none"/>
                <w:lang w:eastAsia="zh-CN"/>
              </w:rPr>
            </w:pPr>
          </w:p>
          <w:p>
            <w:pPr>
              <w:pStyle w:val="2"/>
              <w:numPr>
                <w:ilvl w:val="0"/>
                <w:numId w:val="0"/>
              </w:numPr>
              <w:ind w:leftChars="0"/>
              <w:rPr>
                <w:rFonts w:hint="eastAsia" w:hAnsi="宋体"/>
                <w:sz w:val="24"/>
                <w:szCs w:val="24"/>
                <w:highlight w:val="none"/>
                <w:lang w:eastAsia="zh-CN"/>
              </w:rPr>
            </w:pPr>
            <w:r>
              <w:rPr>
                <w:rFonts w:hint="eastAsia" w:hAnsi="宋体"/>
                <w:sz w:val="24"/>
                <w:szCs w:val="24"/>
                <w:highlight w:val="none"/>
                <w:lang w:val="en-US" w:eastAsia="zh-CN"/>
              </w:rPr>
              <w:t>是否</w:t>
            </w:r>
            <w:r>
              <w:rPr>
                <w:rFonts w:ascii="宋体" w:hAnsi="宋体" w:eastAsia="宋体"/>
                <w:sz w:val="24"/>
                <w:szCs w:val="24"/>
                <w:highlight w:val="none"/>
              </w:rPr>
              <w:t>具有一个及以上高级等级测评师证书</w:t>
            </w:r>
            <w:r>
              <w:rPr>
                <w:rFonts w:hint="eastAsia" w:hAnsi="宋体"/>
                <w:sz w:val="24"/>
                <w:szCs w:val="24"/>
                <w:highlight w:val="none"/>
                <w:lang w:eastAsia="zh-CN"/>
              </w:rPr>
              <w:t>；</w:t>
            </w:r>
          </w:p>
          <w:p>
            <w:pPr>
              <w:pStyle w:val="2"/>
              <w:numPr>
                <w:ilvl w:val="0"/>
                <w:numId w:val="0"/>
              </w:numPr>
              <w:ind w:leftChars="0"/>
              <w:rPr>
                <w:rFonts w:hint="eastAsia" w:hAnsi="宋体"/>
                <w:sz w:val="24"/>
                <w:szCs w:val="24"/>
                <w:highlight w:val="none"/>
                <w:lang w:eastAsia="zh-CN"/>
              </w:rPr>
            </w:pPr>
          </w:p>
          <w:p>
            <w:pPr>
              <w:pStyle w:val="2"/>
              <w:numPr>
                <w:ilvl w:val="0"/>
                <w:numId w:val="0"/>
              </w:numPr>
              <w:ind w:leftChars="0"/>
              <w:rPr>
                <w:rFonts w:hint="eastAsia" w:hAnsi="宋体" w:eastAsia="宋体"/>
                <w:sz w:val="24"/>
                <w:szCs w:val="24"/>
                <w:highlight w:val="none"/>
                <w:lang w:val="en-US" w:eastAsia="zh-CN"/>
              </w:rPr>
            </w:pPr>
            <w:r>
              <w:rPr>
                <w:rFonts w:ascii="宋体" w:hAnsi="宋体" w:eastAsia="宋体"/>
                <w:sz w:val="24"/>
                <w:szCs w:val="24"/>
                <w:highlight w:val="none"/>
              </w:rPr>
              <w:t>具有中国信息安全测评中心颁发的注册信息安全专业人员（CISP）证书或信息安全保障人员认证（CISAW）证书</w:t>
            </w:r>
            <w:r>
              <w:rPr>
                <w:rFonts w:hint="eastAsia" w:hAnsi="宋体"/>
                <w:sz w:val="24"/>
                <w:szCs w:val="24"/>
                <w:highlight w:val="none"/>
                <w:lang w:eastAsia="zh-CN"/>
              </w:rPr>
              <w:t>；</w:t>
            </w:r>
          </w:p>
          <w:p>
            <w:pPr>
              <w:numPr>
                <w:ilvl w:val="0"/>
                <w:numId w:val="0"/>
              </w:numPr>
              <w:ind w:leftChars="0"/>
              <w:jc w:val="left"/>
              <w:rPr>
                <w:rFonts w:ascii="宋体" w:hAnsi="宋体" w:cs="Times New Roman"/>
                <w:sz w:val="24"/>
              </w:rPr>
            </w:pPr>
          </w:p>
          <w:p>
            <w:pPr>
              <w:jc w:val="left"/>
              <w:rPr>
                <w:rFonts w:ascii="宋体" w:hAnsi="宋体" w:cs="Times New Roman"/>
                <w:b/>
                <w:bCs/>
                <w:sz w:val="24"/>
              </w:rPr>
            </w:pPr>
            <w:r>
              <w:rPr>
                <w:rFonts w:hint="eastAsia" w:ascii="宋体" w:hAnsi="宋体" w:cs="Times New Roman"/>
                <w:b/>
                <w:bCs/>
                <w:sz w:val="24"/>
              </w:rPr>
              <w:t>注：提供以上证书等证明材料原件的清晰扫描件，不提供不得分。</w:t>
            </w:r>
          </w:p>
        </w:tc>
        <w:tc>
          <w:tcPr>
            <w:tcW w:w="1726"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cs="Times New Roman"/>
                <w:b/>
                <w:bCs/>
                <w:sz w:val="24"/>
              </w:rPr>
            </w:pPr>
          </w:p>
          <w:p>
            <w:pPr>
              <w:jc w:val="both"/>
              <w:rPr>
                <w:rFonts w:hint="eastAsia" w:ascii="宋体" w:hAnsi="宋体" w:cs="Times New Roman"/>
                <w:b/>
                <w:bCs/>
                <w:sz w:val="24"/>
              </w:rPr>
            </w:pPr>
          </w:p>
          <w:p>
            <w:pPr>
              <w:jc w:val="both"/>
              <w:rPr>
                <w:rFonts w:hint="eastAsia" w:ascii="宋体" w:hAnsi="宋体" w:cs="Times New Roman"/>
                <w:b/>
                <w:bCs/>
                <w:sz w:val="24"/>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pStyle w:val="2"/>
              <w:rPr>
                <w:rFonts w:hint="eastAsia"/>
                <w:lang w:val="en-US" w:eastAsia="zh-CN"/>
              </w:rPr>
            </w:pPr>
          </w:p>
          <w:p>
            <w:pPr>
              <w:jc w:val="both"/>
              <w:rPr>
                <w:rFonts w:hint="eastAsia" w:ascii="宋体" w:hAnsi="宋体" w:cs="宋体"/>
                <w:sz w:val="24"/>
                <w:szCs w:val="24"/>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p>
          <w:p>
            <w:pPr>
              <w:jc w:val="both"/>
              <w:rPr>
                <w:rFonts w:hint="eastAsia" w:ascii="宋体"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sz w:val="24"/>
              </w:rPr>
            </w:pPr>
            <w:r>
              <w:rPr>
                <w:rFonts w:ascii="宋体" w:hAnsi="宋体" w:eastAsia="宋体"/>
                <w:sz w:val="24"/>
                <w:szCs w:val="24"/>
                <w:highlight w:val="none"/>
              </w:rPr>
              <w:t>投标人业绩</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Times New Roman"/>
                <w:sz w:val="24"/>
              </w:rPr>
            </w:pPr>
            <w:r>
              <w:rPr>
                <w:rFonts w:hint="eastAsia" w:ascii="宋体" w:hAnsi="宋体" w:eastAsia="宋体"/>
                <w:sz w:val="24"/>
                <w:szCs w:val="24"/>
                <w:highlight w:val="none"/>
              </w:rPr>
              <w:t>投标人</w:t>
            </w:r>
            <w:r>
              <w:rPr>
                <w:rFonts w:hint="eastAsia" w:ascii="宋体" w:hAnsi="宋体" w:eastAsia="宋体"/>
                <w:sz w:val="24"/>
                <w:szCs w:val="24"/>
                <w:highlight w:val="none"/>
                <w:lang w:val="en-US" w:eastAsia="zh-CN"/>
              </w:rPr>
              <w:t>是否具有10个及以上</w:t>
            </w:r>
            <w:r>
              <w:rPr>
                <w:rFonts w:hint="eastAsia" w:ascii="宋体" w:hAnsi="宋体" w:eastAsia="宋体"/>
                <w:sz w:val="24"/>
                <w:szCs w:val="24"/>
                <w:highlight w:val="none"/>
              </w:rPr>
              <w:t>自</w:t>
            </w:r>
            <w:r>
              <w:rPr>
                <w:rFonts w:ascii="宋体" w:hAnsi="宋体" w:eastAsia="宋体"/>
                <w:sz w:val="24"/>
                <w:szCs w:val="24"/>
                <w:highlight w:val="none"/>
              </w:rPr>
              <w:t>2021年01月01日以来</w:t>
            </w:r>
            <w:r>
              <w:rPr>
                <w:rFonts w:hint="eastAsia" w:ascii="宋体" w:hAnsi="宋体" w:eastAsia="宋体"/>
                <w:sz w:val="24"/>
                <w:szCs w:val="24"/>
                <w:highlight w:val="none"/>
                <w:lang w:val="en-US" w:eastAsia="zh-CN"/>
              </w:rPr>
              <w:t>的</w:t>
            </w:r>
            <w:r>
              <w:rPr>
                <w:rFonts w:ascii="宋体" w:hAnsi="宋体" w:eastAsia="宋体"/>
                <w:sz w:val="24"/>
                <w:szCs w:val="24"/>
                <w:highlight w:val="none"/>
              </w:rPr>
              <w:t>等保测评服务业绩合同（以合同签订日期为准）</w:t>
            </w:r>
          </w:p>
          <w:p>
            <w:pPr>
              <w:jc w:val="left"/>
              <w:rPr>
                <w:rFonts w:ascii="宋体" w:hAnsi="宋体" w:cs="Times New Roman"/>
                <w:b/>
                <w:bCs/>
                <w:sz w:val="24"/>
              </w:rPr>
            </w:pPr>
            <w:r>
              <w:rPr>
                <w:rFonts w:hint="eastAsia" w:ascii="宋体" w:hAnsi="宋体" w:cs="Times New Roman"/>
                <w:b/>
                <w:bCs/>
                <w:sz w:val="24"/>
              </w:rPr>
              <w:t>说明：投标文件中须提供业绩合同的扫描件/复印件,合同扫描件至少提供封面、服务内容和签字盖章页。</w:t>
            </w:r>
          </w:p>
        </w:tc>
        <w:tc>
          <w:tcPr>
            <w:tcW w:w="1726"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cs="宋体"/>
                <w:sz w:val="24"/>
                <w:szCs w:val="24"/>
                <w:lang w:val="en-US" w:eastAsia="zh-CN"/>
              </w:rPr>
            </w:pPr>
          </w:p>
          <w:p>
            <w:pPr>
              <w:jc w:val="both"/>
              <w:rPr>
                <w:rFonts w:hint="eastAsia" w:ascii="宋体" w:hAnsi="宋体" w:cs="Times New Roman"/>
                <w:b/>
                <w:bCs/>
                <w:sz w:val="24"/>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sz w:val="24"/>
              </w:rPr>
            </w:pPr>
            <w:r>
              <w:rPr>
                <w:rFonts w:ascii="宋体" w:hAnsi="宋体" w:eastAsia="宋体"/>
                <w:sz w:val="24"/>
                <w:szCs w:val="24"/>
                <w:highlight w:val="none"/>
              </w:rPr>
              <w:t>投标人实力</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bCs/>
                <w:sz w:val="24"/>
                <w:szCs w:val="24"/>
                <w:highlight w:val="none"/>
                <w:lang w:eastAsia="zh-CN"/>
              </w:rPr>
            </w:pPr>
            <w:r>
              <w:rPr>
                <w:rFonts w:hint="eastAsia" w:ascii="宋体" w:hAnsi="宋体" w:cs="Times New Roman"/>
                <w:sz w:val="24"/>
                <w:lang w:val="en-US" w:eastAsia="zh-CN"/>
              </w:rPr>
              <w:t>是否</w:t>
            </w:r>
            <w:r>
              <w:rPr>
                <w:rFonts w:ascii="宋体" w:hAnsi="宋体" w:eastAsia="宋体"/>
                <w:bCs/>
                <w:sz w:val="24"/>
                <w:szCs w:val="24"/>
                <w:highlight w:val="none"/>
              </w:rPr>
              <w:t>具有质量管理体系认证证书</w:t>
            </w:r>
            <w:r>
              <w:rPr>
                <w:rFonts w:hint="eastAsia" w:ascii="宋体" w:hAnsi="宋体" w:eastAsia="宋体"/>
                <w:bCs/>
                <w:sz w:val="24"/>
                <w:szCs w:val="24"/>
                <w:highlight w:val="none"/>
                <w:lang w:eastAsia="zh-CN"/>
              </w:rPr>
              <w:t>；</w:t>
            </w:r>
          </w:p>
          <w:p>
            <w:pPr>
              <w:pStyle w:val="2"/>
              <w:rPr>
                <w:rFonts w:hint="eastAsia" w:ascii="宋体" w:hAnsi="宋体" w:eastAsia="宋体"/>
                <w:bCs/>
                <w:sz w:val="24"/>
                <w:szCs w:val="24"/>
                <w:highlight w:val="none"/>
                <w:lang w:eastAsia="zh-CN"/>
              </w:rPr>
            </w:pPr>
          </w:p>
          <w:p>
            <w:pPr>
              <w:pStyle w:val="2"/>
              <w:ind w:left="0" w:leftChars="0" w:firstLine="0" w:firstLineChars="0"/>
              <w:rPr>
                <w:rFonts w:hint="eastAsia" w:hAnsi="宋体"/>
                <w:bCs/>
                <w:sz w:val="24"/>
                <w:szCs w:val="24"/>
                <w:highlight w:val="none"/>
                <w:lang w:eastAsia="zh-CN"/>
              </w:rPr>
            </w:pPr>
            <w:r>
              <w:rPr>
                <w:rFonts w:hint="eastAsia" w:hAnsi="宋体"/>
                <w:bCs/>
                <w:sz w:val="24"/>
                <w:szCs w:val="24"/>
                <w:highlight w:val="none"/>
                <w:lang w:val="en-US" w:eastAsia="zh-CN"/>
              </w:rPr>
              <w:t>是否具有</w:t>
            </w:r>
            <w:r>
              <w:rPr>
                <w:rFonts w:ascii="宋体" w:hAnsi="宋体" w:eastAsia="宋体"/>
                <w:bCs/>
                <w:sz w:val="24"/>
                <w:szCs w:val="24"/>
                <w:highlight w:val="none"/>
              </w:rPr>
              <w:t>信息安全管理体系认证证书</w:t>
            </w:r>
            <w:r>
              <w:rPr>
                <w:rFonts w:hint="eastAsia" w:hAnsi="宋体"/>
                <w:bCs/>
                <w:sz w:val="24"/>
                <w:szCs w:val="24"/>
                <w:highlight w:val="none"/>
                <w:lang w:eastAsia="zh-CN"/>
              </w:rPr>
              <w:t>；</w:t>
            </w:r>
          </w:p>
          <w:p>
            <w:pPr>
              <w:pStyle w:val="2"/>
              <w:ind w:left="0" w:leftChars="0" w:firstLine="0" w:firstLineChars="0"/>
              <w:rPr>
                <w:rFonts w:hint="eastAsia" w:hAnsi="宋体"/>
                <w:bCs/>
                <w:sz w:val="24"/>
                <w:szCs w:val="24"/>
                <w:highlight w:val="none"/>
                <w:lang w:eastAsia="zh-CN"/>
              </w:rPr>
            </w:pPr>
          </w:p>
          <w:p>
            <w:pPr>
              <w:pStyle w:val="2"/>
              <w:ind w:left="0" w:leftChars="0" w:firstLine="0" w:firstLineChars="0"/>
              <w:rPr>
                <w:rFonts w:hint="eastAsia" w:hAnsi="宋体"/>
                <w:bCs/>
                <w:sz w:val="24"/>
                <w:szCs w:val="24"/>
                <w:highlight w:val="none"/>
                <w:lang w:eastAsia="zh-CN"/>
              </w:rPr>
            </w:pPr>
            <w:r>
              <w:rPr>
                <w:rFonts w:hint="eastAsia" w:hAnsi="宋体"/>
                <w:bCs/>
                <w:sz w:val="24"/>
                <w:szCs w:val="24"/>
                <w:highlight w:val="none"/>
                <w:lang w:val="en-US" w:eastAsia="zh-CN"/>
              </w:rPr>
              <w:t>是否具有</w:t>
            </w:r>
            <w:r>
              <w:rPr>
                <w:rFonts w:ascii="宋体" w:hAnsi="宋体" w:eastAsia="宋体"/>
                <w:bCs/>
                <w:sz w:val="24"/>
                <w:szCs w:val="24"/>
                <w:highlight w:val="none"/>
              </w:rPr>
              <w:t>信息技术服务管理体系认证证书</w:t>
            </w:r>
            <w:r>
              <w:rPr>
                <w:rFonts w:hint="eastAsia" w:hAnsi="宋体"/>
                <w:bCs/>
                <w:sz w:val="24"/>
                <w:szCs w:val="24"/>
                <w:highlight w:val="none"/>
                <w:lang w:eastAsia="zh-CN"/>
              </w:rPr>
              <w:t>；</w:t>
            </w:r>
          </w:p>
          <w:p>
            <w:pPr>
              <w:pStyle w:val="2"/>
              <w:ind w:left="0" w:leftChars="0" w:firstLine="0" w:firstLineChars="0"/>
              <w:rPr>
                <w:rFonts w:hint="eastAsia" w:hAnsi="宋体"/>
                <w:bCs/>
                <w:sz w:val="24"/>
                <w:szCs w:val="24"/>
                <w:highlight w:val="none"/>
                <w:lang w:eastAsia="zh-CN"/>
              </w:rPr>
            </w:pPr>
          </w:p>
          <w:p>
            <w:pPr>
              <w:pStyle w:val="2"/>
              <w:ind w:left="0" w:leftChars="0" w:firstLine="0" w:firstLineChars="0"/>
              <w:rPr>
                <w:rFonts w:hint="eastAsia" w:ascii="宋体" w:hAnsi="宋体" w:eastAsia="宋体"/>
                <w:bCs/>
                <w:sz w:val="24"/>
                <w:szCs w:val="24"/>
                <w:highlight w:val="none"/>
                <w:lang w:eastAsia="zh-CN"/>
              </w:rPr>
            </w:pPr>
            <w:r>
              <w:rPr>
                <w:rFonts w:hint="eastAsia" w:hAnsi="宋体"/>
                <w:bCs/>
                <w:sz w:val="24"/>
                <w:szCs w:val="24"/>
                <w:highlight w:val="none"/>
                <w:lang w:val="en-US" w:eastAsia="zh-CN"/>
              </w:rPr>
              <w:t>是否</w:t>
            </w:r>
            <w:r>
              <w:rPr>
                <w:rFonts w:ascii="宋体" w:hAnsi="宋体" w:eastAsia="宋体"/>
                <w:bCs/>
                <w:sz w:val="24"/>
                <w:szCs w:val="24"/>
                <w:highlight w:val="none"/>
              </w:rPr>
              <w:t>具有检验检测机构资质认定证书（CMA）证书且检验检测的能力范围包括网络安全等级保护测评</w:t>
            </w:r>
            <w:r>
              <w:rPr>
                <w:rFonts w:hint="eastAsia" w:hAnsi="宋体"/>
                <w:bCs/>
                <w:sz w:val="24"/>
                <w:szCs w:val="24"/>
                <w:highlight w:val="none"/>
                <w:lang w:eastAsia="zh-CN"/>
              </w:rPr>
              <w:t>；</w:t>
            </w:r>
          </w:p>
          <w:p>
            <w:pPr>
              <w:pStyle w:val="2"/>
              <w:ind w:left="0" w:leftChars="0" w:firstLine="0" w:firstLineChars="0"/>
              <w:rPr>
                <w:rFonts w:ascii="宋体" w:hAnsi="宋体" w:eastAsia="宋体"/>
                <w:bCs/>
                <w:sz w:val="24"/>
                <w:szCs w:val="24"/>
                <w:highlight w:val="none"/>
              </w:rPr>
            </w:pPr>
          </w:p>
          <w:p>
            <w:pPr>
              <w:pStyle w:val="2"/>
              <w:ind w:left="0" w:leftChars="0" w:firstLine="0" w:firstLineChars="0"/>
              <w:rPr>
                <w:rFonts w:ascii="宋体" w:hAnsi="宋体" w:eastAsia="宋体"/>
                <w:bCs/>
                <w:sz w:val="24"/>
                <w:szCs w:val="24"/>
                <w:highlight w:val="none"/>
              </w:rPr>
            </w:pPr>
          </w:p>
          <w:p>
            <w:pPr>
              <w:pStyle w:val="2"/>
              <w:ind w:left="0" w:leftChars="0" w:firstLine="0" w:firstLineChars="0"/>
              <w:rPr>
                <w:rFonts w:hint="eastAsia" w:ascii="宋体" w:hAnsi="宋体" w:eastAsia="宋体" w:cs="宋体"/>
                <w:bCs/>
                <w:sz w:val="24"/>
                <w:szCs w:val="24"/>
                <w:lang w:eastAsia="zh-CN"/>
              </w:rPr>
            </w:pPr>
            <w:r>
              <w:rPr>
                <w:rFonts w:hint="eastAsia" w:hAnsi="宋体"/>
                <w:bCs/>
                <w:sz w:val="24"/>
                <w:szCs w:val="24"/>
                <w:highlight w:val="none"/>
                <w:lang w:val="en-US" w:eastAsia="zh-CN"/>
              </w:rPr>
              <w:t>是否</w:t>
            </w:r>
            <w:r>
              <w:rPr>
                <w:rFonts w:hint="eastAsia" w:ascii="宋体" w:hAnsi="宋体" w:eastAsia="宋体" w:cs="宋体"/>
                <w:bCs/>
                <w:sz w:val="24"/>
                <w:szCs w:val="24"/>
              </w:rPr>
              <w:t>具有中国合格评定国家认可委员会（CNAS）颁发的检验机构认可证书且资质认定能力范围包含网络安全等级保护测评相关内容</w:t>
            </w:r>
            <w:r>
              <w:rPr>
                <w:rFonts w:hint="eastAsia" w:hAnsi="宋体" w:cs="宋体"/>
                <w:bCs/>
                <w:sz w:val="24"/>
                <w:szCs w:val="24"/>
                <w:lang w:eastAsia="zh-CN"/>
              </w:rPr>
              <w:t>；</w:t>
            </w:r>
          </w:p>
          <w:p>
            <w:pPr>
              <w:pStyle w:val="2"/>
              <w:ind w:left="0" w:leftChars="0" w:firstLine="0" w:firstLineChars="0"/>
              <w:rPr>
                <w:rFonts w:hint="eastAsia" w:ascii="宋体" w:hAnsi="宋体" w:eastAsia="宋体" w:cs="宋体"/>
                <w:bCs/>
                <w:sz w:val="24"/>
                <w:szCs w:val="24"/>
                <w:lang w:val="en-US" w:eastAsia="zh-CN"/>
              </w:rPr>
            </w:pPr>
          </w:p>
          <w:p>
            <w:pPr>
              <w:pStyle w:val="2"/>
              <w:ind w:left="0" w:leftChars="0" w:firstLine="0" w:firstLineChars="0"/>
              <w:rPr>
                <w:rFonts w:hint="eastAsia" w:ascii="宋体" w:hAnsi="宋体" w:eastAsia="宋体"/>
                <w:bCs/>
                <w:sz w:val="24"/>
                <w:szCs w:val="24"/>
                <w:highlight w:val="none"/>
                <w:lang w:val="en-US" w:eastAsia="zh-CN"/>
              </w:rPr>
            </w:pPr>
            <w:r>
              <w:rPr>
                <w:rFonts w:hint="eastAsia" w:ascii="宋体" w:hAnsi="宋体" w:eastAsia="宋体" w:cs="宋体"/>
                <w:bCs/>
                <w:sz w:val="24"/>
                <w:szCs w:val="24"/>
                <w:highlight w:val="none"/>
              </w:rPr>
              <w:t>具有中国网络安全审查技术与认证中心颁发的</w:t>
            </w:r>
            <w:r>
              <w:rPr>
                <w:rFonts w:ascii="宋体" w:hAnsi="宋体" w:eastAsia="宋体"/>
                <w:sz w:val="24"/>
                <w:szCs w:val="24"/>
                <w:highlight w:val="none"/>
              </w:rPr>
              <w:t>信息安全风险评估服务资质证书</w:t>
            </w:r>
            <w:r>
              <w:rPr>
                <w:rFonts w:hint="eastAsia" w:hAnsi="宋体"/>
                <w:sz w:val="24"/>
                <w:szCs w:val="24"/>
                <w:highlight w:val="none"/>
                <w:lang w:val="en-US" w:eastAsia="zh-CN"/>
              </w:rPr>
              <w:t>的</w:t>
            </w:r>
            <w:r>
              <w:rPr>
                <w:rFonts w:ascii="宋体" w:hAnsi="宋体" w:eastAsia="宋体"/>
                <w:sz w:val="24"/>
                <w:szCs w:val="24"/>
                <w:highlight w:val="none"/>
              </w:rPr>
              <w:t>服务资质</w:t>
            </w:r>
            <w:r>
              <w:rPr>
                <w:rFonts w:hint="eastAsia" w:hAnsi="宋体"/>
                <w:sz w:val="24"/>
                <w:szCs w:val="24"/>
                <w:highlight w:val="none"/>
                <w:lang w:val="en-US" w:eastAsia="zh-CN"/>
              </w:rPr>
              <w:t>等级；</w:t>
            </w:r>
          </w:p>
          <w:p>
            <w:pPr>
              <w:jc w:val="left"/>
              <w:rPr>
                <w:rFonts w:ascii="宋体" w:hAnsi="宋体" w:cs="Times New Roman"/>
                <w:sz w:val="24"/>
              </w:rPr>
            </w:pPr>
          </w:p>
          <w:p>
            <w:pPr>
              <w:pStyle w:val="2"/>
              <w:ind w:left="0" w:leftChars="0" w:firstLine="0" w:firstLineChars="0"/>
            </w:pPr>
            <w:r>
              <w:rPr>
                <w:rFonts w:hint="eastAsia" w:hAnsi="宋体" w:cs="Times New Roman"/>
                <w:b w:val="0"/>
                <w:bCs w:val="0"/>
                <w:kern w:val="2"/>
                <w:sz w:val="24"/>
                <w:szCs w:val="24"/>
                <w:lang w:val="en-US" w:eastAsia="zh-CN" w:bidi="ar-SA"/>
              </w:rPr>
              <w:t>是否</w:t>
            </w:r>
            <w:r>
              <w:rPr>
                <w:rFonts w:hint="eastAsia" w:ascii="宋体" w:hAnsi="宋体" w:cs="Times New Roman"/>
                <w:b w:val="0"/>
                <w:bCs w:val="0"/>
                <w:kern w:val="2"/>
                <w:sz w:val="24"/>
                <w:szCs w:val="24"/>
                <w:lang w:val="en-US" w:eastAsia="zh-CN" w:bidi="ar-SA"/>
              </w:rPr>
              <w:t>具有中国网络安全审查技术与认证中心颁发的</w:t>
            </w:r>
            <w:r>
              <w:rPr>
                <w:rFonts w:hint="eastAsia" w:ascii="宋体" w:hAnsi="宋体" w:eastAsia="宋体" w:cs="Times New Roman"/>
                <w:b w:val="0"/>
                <w:bCs w:val="0"/>
                <w:kern w:val="2"/>
                <w:sz w:val="24"/>
                <w:szCs w:val="24"/>
                <w:lang w:val="en-US" w:eastAsia="zh-CN" w:bidi="ar-SA"/>
              </w:rPr>
              <w:t>信息系统安全运维服务资质认证证书</w:t>
            </w:r>
            <w:r>
              <w:rPr>
                <w:rFonts w:hint="eastAsia" w:hAnsi="宋体" w:cs="Times New Roman"/>
                <w:b w:val="0"/>
                <w:bCs w:val="0"/>
                <w:kern w:val="2"/>
                <w:sz w:val="24"/>
                <w:szCs w:val="24"/>
                <w:lang w:val="en-US" w:eastAsia="zh-CN" w:bidi="ar-SA"/>
              </w:rPr>
              <w:t>；</w:t>
            </w:r>
          </w:p>
          <w:p>
            <w:pPr>
              <w:numPr>
                <w:ilvl w:val="0"/>
                <w:numId w:val="0"/>
              </w:numPr>
              <w:jc w:val="left"/>
              <w:rPr>
                <w:rFonts w:hint="eastAsia" w:ascii="宋体" w:hAnsi="宋体" w:cs="Times New Roman"/>
                <w:sz w:val="24"/>
                <w:lang w:val="en-US" w:eastAsia="zh-CN"/>
              </w:rPr>
            </w:pPr>
          </w:p>
          <w:p>
            <w:pPr>
              <w:pStyle w:val="2"/>
              <w:ind w:left="0" w:leftChars="0" w:firstLine="0" w:firstLineChars="0"/>
              <w:rPr>
                <w:rFonts w:hint="eastAsia" w:ascii="宋体" w:hAnsi="宋体" w:eastAsia="宋体"/>
                <w:sz w:val="24"/>
                <w:lang w:eastAsia="zh-CN"/>
              </w:rPr>
            </w:pPr>
            <w:r>
              <w:rPr>
                <w:rFonts w:hint="eastAsia" w:ascii="宋体" w:hAnsi="宋体"/>
                <w:sz w:val="24"/>
              </w:rPr>
              <w:t>具有</w:t>
            </w:r>
            <w:r>
              <w:rPr>
                <w:rFonts w:hint="eastAsia" w:ascii="宋体" w:hAnsi="宋体"/>
                <w:sz w:val="24"/>
                <w:lang w:val="en-US" w:eastAsia="zh-CN"/>
              </w:rPr>
              <w:t>网络安全等级保护</w:t>
            </w:r>
            <w:r>
              <w:rPr>
                <w:rFonts w:hint="eastAsia" w:ascii="宋体" w:hAnsi="宋体"/>
                <w:sz w:val="24"/>
              </w:rPr>
              <w:t>方面的计算机软件著作权登记证书</w:t>
            </w:r>
            <w:r>
              <w:rPr>
                <w:rFonts w:hint="eastAsia" w:hAnsi="宋体"/>
                <w:sz w:val="24"/>
                <w:lang w:eastAsia="zh-CN"/>
              </w:rPr>
              <w:t>；</w:t>
            </w:r>
          </w:p>
          <w:p>
            <w:pPr>
              <w:pStyle w:val="2"/>
              <w:ind w:left="0" w:leftChars="0" w:firstLine="0" w:firstLineChars="0"/>
              <w:rPr>
                <w:rFonts w:hint="eastAsia" w:ascii="宋体" w:hAnsi="宋体"/>
                <w:sz w:val="24"/>
                <w:lang w:val="en-US" w:eastAsia="zh-CN"/>
              </w:rPr>
            </w:pPr>
          </w:p>
          <w:p>
            <w:pPr>
              <w:jc w:val="left"/>
              <w:rPr>
                <w:rFonts w:ascii="宋体" w:hAnsi="宋体" w:cs="Times New Roman"/>
                <w:sz w:val="24"/>
              </w:rPr>
            </w:pPr>
            <w:r>
              <w:rPr>
                <w:rFonts w:hint="eastAsia" w:ascii="宋体" w:hAnsi="宋体" w:cs="Times New Roman"/>
                <w:b/>
                <w:bCs/>
                <w:sz w:val="24"/>
              </w:rPr>
              <w:t>注：</w:t>
            </w:r>
            <w:r>
              <w:rPr>
                <w:rFonts w:ascii="宋体" w:hAnsi="宋体" w:cs="Times New Roman"/>
                <w:b/>
                <w:bCs/>
                <w:sz w:val="24"/>
              </w:rPr>
              <w:t>1.</w:t>
            </w:r>
            <w:r>
              <w:rPr>
                <w:rFonts w:ascii="宋体" w:hAnsi="宋体" w:eastAsia="宋体"/>
                <w:b/>
                <w:bCs w:val="0"/>
                <w:sz w:val="24"/>
                <w:szCs w:val="24"/>
                <w:highlight w:val="none"/>
              </w:rPr>
              <w:t>以上证书须在投标文件中提供证书扫描件或复印件。 投标文件中须提供证书扫描件</w:t>
            </w:r>
            <w:r>
              <w:rPr>
                <w:rFonts w:hint="eastAsia" w:ascii="宋体" w:hAnsi="宋体" w:eastAsia="宋体"/>
                <w:b/>
                <w:bCs w:val="0"/>
                <w:sz w:val="24"/>
                <w:szCs w:val="24"/>
                <w:highlight w:val="none"/>
              </w:rPr>
              <w:t>（</w:t>
            </w:r>
            <w:r>
              <w:rPr>
                <w:rFonts w:ascii="宋体" w:hAnsi="宋体" w:eastAsia="宋体"/>
                <w:b/>
                <w:bCs w:val="0"/>
                <w:sz w:val="24"/>
                <w:szCs w:val="24"/>
                <w:highlight w:val="none"/>
              </w:rPr>
              <w:t>复印件</w:t>
            </w:r>
            <w:r>
              <w:rPr>
                <w:rFonts w:hint="eastAsia" w:ascii="宋体" w:hAnsi="宋体" w:eastAsia="宋体"/>
                <w:b/>
                <w:bCs w:val="0"/>
                <w:sz w:val="24"/>
                <w:szCs w:val="24"/>
                <w:highlight w:val="none"/>
              </w:rPr>
              <w:t>）或官方查询</w:t>
            </w:r>
            <w:r>
              <w:rPr>
                <w:rFonts w:ascii="宋体" w:hAnsi="宋体" w:eastAsia="宋体"/>
                <w:b/>
                <w:bCs w:val="0"/>
                <w:sz w:val="24"/>
                <w:szCs w:val="24"/>
                <w:highlight w:val="none"/>
              </w:rPr>
              <w:t>结果</w:t>
            </w:r>
            <w:r>
              <w:rPr>
                <w:rFonts w:hint="eastAsia" w:ascii="宋体" w:hAnsi="宋体" w:eastAsia="宋体"/>
                <w:b/>
                <w:bCs w:val="0"/>
                <w:sz w:val="24"/>
                <w:szCs w:val="24"/>
                <w:highlight w:val="none"/>
              </w:rPr>
              <w:t>截图。</w:t>
            </w:r>
          </w:p>
        </w:tc>
        <w:tc>
          <w:tcPr>
            <w:tcW w:w="1726" w:type="dxa"/>
            <w:tcBorders>
              <w:top w:val="single" w:color="auto" w:sz="4" w:space="0"/>
              <w:left w:val="single" w:color="auto" w:sz="4" w:space="0"/>
              <w:bottom w:val="single" w:color="auto" w:sz="4" w:space="0"/>
              <w:right w:val="single" w:color="auto" w:sz="4" w:space="0"/>
            </w:tcBorders>
            <w:noWrap w:val="0"/>
            <w:vAlign w:val="top"/>
          </w:tcPr>
          <w:p>
            <w:pPr>
              <w:jc w:val="both"/>
              <w:rPr>
                <w:rFonts w:ascii="宋体" w:hAnsi="宋体" w:cs="Times New Roman"/>
                <w:b/>
                <w:bCs/>
                <w:sz w:val="24"/>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仿宋" w:hAnsi="仿宋" w:eastAsia="仿宋" w:cs="方正仿宋_GB2312"/>
                <w:sz w:val="32"/>
                <w:szCs w:val="32"/>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jc w:val="both"/>
              <w:rPr>
                <w:rFonts w:hint="eastAsia" w:ascii="仿宋" w:hAnsi="仿宋" w:eastAsia="仿宋" w:cs="方正仿宋_GB2312"/>
                <w:sz w:val="32"/>
                <w:szCs w:val="32"/>
                <w:u w:val="single"/>
              </w:rPr>
            </w:pPr>
          </w:p>
          <w:p>
            <w:pPr>
              <w:jc w:val="both"/>
              <w:rPr>
                <w:rFonts w:hint="default" w:ascii="宋体" w:hAnsi="宋体" w:eastAsia="宋体" w:cs="宋体"/>
                <w:sz w:val="24"/>
                <w:szCs w:val="24"/>
                <w:u w:val="none"/>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u w:val="single"/>
                <w:lang w:val="en-US" w:eastAsia="zh-CN"/>
              </w:rPr>
              <w:t xml:space="preserve">  </w:t>
            </w:r>
            <w:r>
              <w:rPr>
                <w:rFonts w:hint="eastAsia" w:ascii="宋体" w:hAnsi="宋体" w:eastAsia="宋体" w:cs="宋体"/>
                <w:sz w:val="24"/>
                <w:szCs w:val="24"/>
                <w:u w:val="none"/>
                <w:lang w:val="en-US" w:eastAsia="zh-CN"/>
              </w:rPr>
              <w:t>级服务资质</w:t>
            </w:r>
          </w:p>
          <w:p>
            <w:pPr>
              <w:jc w:val="both"/>
              <w:rPr>
                <w:rFonts w:hint="eastAsia" w:ascii="仿宋" w:hAnsi="仿宋" w:eastAsia="仿宋" w:cs="方正仿宋_GB2312"/>
                <w:sz w:val="32"/>
                <w:szCs w:val="32"/>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pPr>
              <w:pStyle w:val="2"/>
              <w:rPr>
                <w:rFonts w:hint="eastAsia"/>
              </w:rPr>
            </w:pPr>
          </w:p>
          <w:p>
            <w:pPr>
              <w:pStyle w:val="2"/>
              <w:rPr>
                <w:rFonts w:hint="eastAsia"/>
              </w:rPr>
            </w:pPr>
          </w:p>
          <w:p>
            <w:pPr>
              <w:jc w:val="both"/>
              <w:rPr>
                <w:rFonts w:hint="default" w:ascii="宋体" w:hAnsi="宋体" w:eastAsia="宋体" w:cs="宋体"/>
                <w:sz w:val="24"/>
                <w:szCs w:val="24"/>
                <w:u w:val="none"/>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p>
          <w:p>
            <w:pPr>
              <w:pStyle w:val="2"/>
              <w:rPr>
                <w:rFonts w:hint="eastAsia"/>
              </w:rPr>
            </w:pPr>
          </w:p>
        </w:tc>
      </w:tr>
    </w:tbl>
    <w:p>
      <w:pPr>
        <w:pStyle w:val="5"/>
        <w:ind w:left="0" w:leftChars="0" w:firstLine="640" w:firstLineChars="0"/>
        <w:rPr>
          <w:rFonts w:hint="eastAsia"/>
          <w:lang w:val="en-US" w:eastAsia="zh-CN"/>
        </w:rPr>
      </w:pPr>
      <w:r>
        <w:rPr>
          <w:rFonts w:hint="eastAsia" w:ascii="仿宋" w:hAnsi="仿宋" w:eastAsia="仿宋" w:cs="方正仿宋_GB2312"/>
          <w:b/>
          <w:bCs/>
          <w:sz w:val="32"/>
          <w:szCs w:val="32"/>
        </w:rPr>
        <w:t>七、其他方面的建议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2C52"/>
    <w:multiLevelType w:val="singleLevel"/>
    <w:tmpl w:val="91072C52"/>
    <w:lvl w:ilvl="0" w:tentative="0">
      <w:start w:val="1"/>
      <w:numFmt w:val="decimalEnclosedCircleChinese"/>
      <w:suff w:val="nothing"/>
      <w:lvlText w:val="%1　"/>
      <w:lvlJc w:val="left"/>
      <w:pPr>
        <w:ind w:left="0" w:leftChars="0" w:firstLine="785" w:firstLineChars="0"/>
      </w:pPr>
      <w:rPr>
        <w:rFonts w:hint="eastAsia"/>
      </w:rPr>
    </w:lvl>
  </w:abstractNum>
  <w:abstractNum w:abstractNumId="1">
    <w:nsid w:val="B12AB28A"/>
    <w:multiLevelType w:val="singleLevel"/>
    <w:tmpl w:val="B12AB28A"/>
    <w:lvl w:ilvl="0" w:tentative="0">
      <w:start w:val="1"/>
      <w:numFmt w:val="decimalEnclosedCircleChinese"/>
      <w:suff w:val="nothing"/>
      <w:lvlText w:val="%1　"/>
      <w:lvlJc w:val="left"/>
      <w:pPr>
        <w:ind w:left="0" w:firstLine="400"/>
      </w:pPr>
      <w:rPr>
        <w:rFonts w:hint="eastAsia"/>
      </w:rPr>
    </w:lvl>
  </w:abstractNum>
  <w:abstractNum w:abstractNumId="2">
    <w:nsid w:val="EE3E0A29"/>
    <w:multiLevelType w:val="singleLevel"/>
    <w:tmpl w:val="EE3E0A29"/>
    <w:lvl w:ilvl="0" w:tentative="0">
      <w:start w:val="1"/>
      <w:numFmt w:val="decimal"/>
      <w:lvlText w:val="%1."/>
      <w:lvlJc w:val="left"/>
      <w:pPr>
        <w:ind w:left="425" w:hanging="425"/>
      </w:pPr>
      <w:rPr>
        <w:rFonts w:hint="default"/>
      </w:rPr>
    </w:lvl>
  </w:abstractNum>
  <w:abstractNum w:abstractNumId="3">
    <w:nsid w:val="F510D324"/>
    <w:multiLevelType w:val="singleLevel"/>
    <w:tmpl w:val="F510D324"/>
    <w:lvl w:ilvl="0" w:tentative="0">
      <w:start w:val="6"/>
      <w:numFmt w:val="chineseCounting"/>
      <w:suff w:val="nothing"/>
      <w:lvlText w:val="%1、"/>
      <w:lvlJc w:val="left"/>
      <w:rPr>
        <w:rFonts w:hint="eastAsia"/>
      </w:rPr>
    </w:lvl>
  </w:abstractNum>
  <w:abstractNum w:abstractNumId="4">
    <w:nsid w:val="24A653B9"/>
    <w:multiLevelType w:val="singleLevel"/>
    <w:tmpl w:val="24A653B9"/>
    <w:lvl w:ilvl="0" w:tentative="0">
      <w:start w:val="1"/>
      <w:numFmt w:val="decimalEnclosedCircleChinese"/>
      <w:suff w:val="nothing"/>
      <w:lvlText w:val="%1　"/>
      <w:lvlJc w:val="left"/>
      <w:pPr>
        <w:ind w:left="0" w:firstLine="400"/>
      </w:pPr>
      <w:rPr>
        <w:rFonts w:hint="eastAsia"/>
      </w:rPr>
    </w:lvl>
  </w:abstractNum>
  <w:abstractNum w:abstractNumId="5">
    <w:nsid w:val="2B3D7DB9"/>
    <w:multiLevelType w:val="multilevel"/>
    <w:tmpl w:val="2B3D7DB9"/>
    <w:lvl w:ilvl="0" w:tentative="0">
      <w:start w:val="2"/>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92C60C"/>
    <w:multiLevelType w:val="singleLevel"/>
    <w:tmpl w:val="5E92C60C"/>
    <w:lvl w:ilvl="0" w:tentative="0">
      <w:start w:val="2"/>
      <w:numFmt w:val="chineseCounting"/>
      <w:suff w:val="nothing"/>
      <w:lvlText w:val="（%1）"/>
      <w:lvlJc w:val="left"/>
      <w:rPr>
        <w:rFonts w:hint="eastAsia"/>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DU0NjMxZWQ0YmRkMjAxNGY1ZTljZmJiYjExMGQifQ=="/>
  </w:docVars>
  <w:rsids>
    <w:rsidRoot w:val="00000000"/>
    <w:rsid w:val="00292BAB"/>
    <w:rsid w:val="00B66ACB"/>
    <w:rsid w:val="04B966F4"/>
    <w:rsid w:val="05364797"/>
    <w:rsid w:val="06100CB1"/>
    <w:rsid w:val="062D59BA"/>
    <w:rsid w:val="08114BF3"/>
    <w:rsid w:val="09121ED9"/>
    <w:rsid w:val="0A960E3D"/>
    <w:rsid w:val="0C523D2B"/>
    <w:rsid w:val="0D867784"/>
    <w:rsid w:val="0E8A515C"/>
    <w:rsid w:val="10753E24"/>
    <w:rsid w:val="110C5D35"/>
    <w:rsid w:val="11980D24"/>
    <w:rsid w:val="135E2C79"/>
    <w:rsid w:val="17884FF4"/>
    <w:rsid w:val="1A4F0ED2"/>
    <w:rsid w:val="1A52463A"/>
    <w:rsid w:val="1A8448EE"/>
    <w:rsid w:val="1B1F1CB4"/>
    <w:rsid w:val="1B421536"/>
    <w:rsid w:val="1B851111"/>
    <w:rsid w:val="1C5B1EE6"/>
    <w:rsid w:val="1D1B6AD0"/>
    <w:rsid w:val="1EA8401C"/>
    <w:rsid w:val="1F494152"/>
    <w:rsid w:val="1FCD4217"/>
    <w:rsid w:val="20DF584B"/>
    <w:rsid w:val="22633A2F"/>
    <w:rsid w:val="22B46BAD"/>
    <w:rsid w:val="24977CE1"/>
    <w:rsid w:val="24E0567E"/>
    <w:rsid w:val="276A612A"/>
    <w:rsid w:val="2910617E"/>
    <w:rsid w:val="297B1E59"/>
    <w:rsid w:val="2C577EF5"/>
    <w:rsid w:val="2C7072A9"/>
    <w:rsid w:val="2E6647A7"/>
    <w:rsid w:val="2EE5147B"/>
    <w:rsid w:val="2F360771"/>
    <w:rsid w:val="305444A3"/>
    <w:rsid w:val="33E62682"/>
    <w:rsid w:val="35597A60"/>
    <w:rsid w:val="35801486"/>
    <w:rsid w:val="36362F59"/>
    <w:rsid w:val="379D005C"/>
    <w:rsid w:val="380674CE"/>
    <w:rsid w:val="385B709E"/>
    <w:rsid w:val="38DC28F1"/>
    <w:rsid w:val="3BB80C52"/>
    <w:rsid w:val="3D007EC3"/>
    <w:rsid w:val="3D170F66"/>
    <w:rsid w:val="3FF22C1F"/>
    <w:rsid w:val="41F90BCB"/>
    <w:rsid w:val="42491FBA"/>
    <w:rsid w:val="43043D8C"/>
    <w:rsid w:val="434626F9"/>
    <w:rsid w:val="453C0D58"/>
    <w:rsid w:val="45621944"/>
    <w:rsid w:val="46712183"/>
    <w:rsid w:val="46FA5052"/>
    <w:rsid w:val="48040D0B"/>
    <w:rsid w:val="500C5C16"/>
    <w:rsid w:val="510E0CFA"/>
    <w:rsid w:val="5235587D"/>
    <w:rsid w:val="55672339"/>
    <w:rsid w:val="565116FE"/>
    <w:rsid w:val="579E6DF4"/>
    <w:rsid w:val="57C57EE2"/>
    <w:rsid w:val="57F05EC4"/>
    <w:rsid w:val="5D011713"/>
    <w:rsid w:val="5DA31FC6"/>
    <w:rsid w:val="61C478D8"/>
    <w:rsid w:val="61DC08E7"/>
    <w:rsid w:val="62741294"/>
    <w:rsid w:val="628F657E"/>
    <w:rsid w:val="63112227"/>
    <w:rsid w:val="65052C6C"/>
    <w:rsid w:val="68F24043"/>
    <w:rsid w:val="6BA44B8B"/>
    <w:rsid w:val="6BA749C8"/>
    <w:rsid w:val="6C6F33D9"/>
    <w:rsid w:val="6CC9560C"/>
    <w:rsid w:val="71652FCA"/>
    <w:rsid w:val="72C306E6"/>
    <w:rsid w:val="72E225EB"/>
    <w:rsid w:val="73351CBE"/>
    <w:rsid w:val="77AA49AD"/>
    <w:rsid w:val="77B17DFD"/>
    <w:rsid w:val="77EB2296"/>
    <w:rsid w:val="7D37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361"/>
      <w:jc w:val="left"/>
    </w:pPr>
    <w:rPr>
      <w:rFonts w:ascii="宋体" w:hAnsi="Times New Roman" w:eastAsia="宋体" w:cs="宋体"/>
      <w:kern w:val="0"/>
      <w:sz w:val="24"/>
      <w:szCs w:val="24"/>
    </w:rPr>
  </w:style>
  <w:style w:type="paragraph" w:styleId="3">
    <w:name w:val="Body Text Indent"/>
    <w:basedOn w:val="1"/>
    <w:next w:val="4"/>
    <w:autoRedefine/>
    <w:qFormat/>
    <w:uiPriority w:val="0"/>
    <w:pPr>
      <w:ind w:firstLine="660"/>
    </w:pPr>
    <w:rPr>
      <w:rFonts w:ascii="微软简标宋" w:hAnsi="微软简标宋"/>
      <w:color w:val="000000"/>
      <w:sz w:val="24"/>
    </w:rPr>
  </w:style>
  <w:style w:type="paragraph" w:styleId="4">
    <w:name w:val="envelope return"/>
    <w:basedOn w:val="1"/>
    <w:autoRedefine/>
    <w:qFormat/>
    <w:uiPriority w:val="0"/>
    <w:pPr>
      <w:snapToGrid w:val="0"/>
    </w:pPr>
    <w:rPr>
      <w:rFonts w:ascii="Arial" w:hAnsi="Arial"/>
    </w:rPr>
  </w:style>
  <w:style w:type="paragraph" w:styleId="5">
    <w:name w:val="Body Text First Indent 2"/>
    <w:basedOn w:val="3"/>
    <w:next w:val="1"/>
    <w:autoRedefine/>
    <w:qFormat/>
    <w:uiPriority w:val="0"/>
    <w:pPr>
      <w:ind w:left="420" w:firstLine="420"/>
    </w:pPr>
  </w:style>
  <w:style w:type="character" w:styleId="8">
    <w:name w:val="Hyperlink"/>
    <w:basedOn w:val="7"/>
    <w:qFormat/>
    <w:uiPriority w:val="0"/>
    <w:rPr>
      <w:color w:val="0000FF"/>
      <w:u w:val="single"/>
    </w:rPr>
  </w:style>
  <w:style w:type="paragraph" w:styleId="9">
    <w:name w:val="List Paragraph"/>
    <w:basedOn w:val="1"/>
    <w:autoRedefine/>
    <w:qFormat/>
    <w:uiPriority w:val="34"/>
    <w:pPr>
      <w:ind w:firstLine="420" w:firstLineChars="200"/>
    </w:pPr>
    <w:rPr>
      <w:szCs w:val="22"/>
    </w:rPr>
  </w:style>
  <w:style w:type="paragraph" w:customStyle="1" w:styleId="10">
    <w:name w:val="Table Paragraph"/>
    <w:basedOn w:val="1"/>
    <w:autoRedefine/>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3489</Words>
  <Characters>3627</Characters>
  <Lines>0</Lines>
  <Paragraphs>0</Paragraphs>
  <TotalTime>1</TotalTime>
  <ScaleCrop>false</ScaleCrop>
  <LinksUpToDate>false</LinksUpToDate>
  <CharactersWithSpaces>3692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李超</cp:lastModifiedBy>
  <dcterms:modified xsi:type="dcterms:W3CDTF">2024-10-21T07:51:25Z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B2D564699D3541F9895DECC1410EC247_13</vt:lpwstr>
  </property>
</Properties>
</file>