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08" w:type="dxa"/>
        <w:jc w:val="center"/>
        <w:tblCellSpacing w:w="0" w:type="dxa"/>
        <w:tblLayout w:type="autofit"/>
        <w:tblCellMar>
          <w:top w:w="0" w:type="dxa"/>
          <w:left w:w="0" w:type="dxa"/>
          <w:bottom w:w="0" w:type="dxa"/>
          <w:right w:w="0" w:type="dxa"/>
        </w:tblCellMar>
      </w:tblPr>
      <w:tblGrid>
        <w:gridCol w:w="9720"/>
      </w:tblGrid>
      <w:tr w14:paraId="2B7279A0">
        <w:tblPrEx>
          <w:tblCellMar>
            <w:top w:w="0" w:type="dxa"/>
            <w:left w:w="0" w:type="dxa"/>
            <w:bottom w:w="0" w:type="dxa"/>
            <w:right w:w="0" w:type="dxa"/>
          </w:tblCellMar>
        </w:tblPrEx>
        <w:trPr>
          <w:trHeight w:val="1470" w:hRule="atLeast"/>
          <w:tblCellSpacing w:w="0" w:type="dxa"/>
          <w:jc w:val="center"/>
        </w:trPr>
        <w:tc>
          <w:tcPr>
            <w:tcW w:w="9708" w:type="dxa"/>
            <w:noWrap w:val="0"/>
            <w:vAlign w:val="center"/>
          </w:tcPr>
          <w:p w14:paraId="38374DE4">
            <w:pPr>
              <w:widowControl/>
              <w:jc w:val="center"/>
              <w:rPr>
                <w:rFonts w:ascii="宋体" w:hAnsi="宋体" w:eastAsia="宋体" w:cs="宋体"/>
                <w:kern w:val="0"/>
                <w:sz w:val="72"/>
                <w:szCs w:val="72"/>
              </w:rPr>
            </w:pPr>
            <w:r>
              <w:rPr>
                <w:rFonts w:hint="eastAsia" w:ascii="宋体" w:hAnsi="宋体" w:eastAsia="宋体" w:cs="宋体"/>
                <w:kern w:val="0"/>
                <w:sz w:val="72"/>
                <w:szCs w:val="72"/>
                <w:lang w:eastAsia="zh-CN"/>
              </w:rPr>
              <w:drawing>
                <wp:inline distT="0" distB="0" distL="114300" distR="114300">
                  <wp:extent cx="6162675" cy="974090"/>
                  <wp:effectExtent l="0" t="0" r="9525" b="16510"/>
                  <wp:docPr id="1" name="图片 1" descr="0072a388fed079307a9fa6b1862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72a388fed079307a9fa6b18626925"/>
                          <pic:cNvPicPr>
                            <a:picLocks noChangeAspect="1"/>
                          </pic:cNvPicPr>
                        </pic:nvPicPr>
                        <pic:blipFill>
                          <a:blip r:embed="rId4"/>
                          <a:stretch>
                            <a:fillRect/>
                          </a:stretch>
                        </pic:blipFill>
                        <pic:spPr>
                          <a:xfrm>
                            <a:off x="0" y="0"/>
                            <a:ext cx="6162675" cy="974090"/>
                          </a:xfrm>
                          <a:prstGeom prst="rect">
                            <a:avLst/>
                          </a:prstGeom>
                          <a:noFill/>
                          <a:ln>
                            <a:noFill/>
                          </a:ln>
                        </pic:spPr>
                      </pic:pic>
                    </a:graphicData>
                  </a:graphic>
                </wp:inline>
              </w:drawing>
            </w:r>
          </w:p>
        </w:tc>
      </w:tr>
      <w:tr w14:paraId="1D6A4ED9">
        <w:tblPrEx>
          <w:tblCellMar>
            <w:top w:w="0" w:type="dxa"/>
            <w:left w:w="0" w:type="dxa"/>
            <w:bottom w:w="0" w:type="dxa"/>
            <w:right w:w="0" w:type="dxa"/>
          </w:tblCellMar>
        </w:tblPrEx>
        <w:trPr>
          <w:tblCellSpacing w:w="0" w:type="dxa"/>
          <w:jc w:val="center"/>
        </w:trPr>
        <w:tc>
          <w:tcPr>
            <w:tcW w:w="9708" w:type="dxa"/>
            <w:noWrap w:val="0"/>
            <w:vAlign w:val="center"/>
          </w:tcPr>
          <w:p w14:paraId="01F612BC">
            <w:pPr>
              <w:widowControl/>
              <w:jc w:val="right"/>
              <w:rPr>
                <w:rFonts w:ascii="宋体" w:hAnsi="宋体" w:eastAsia="宋体" w:cs="宋体"/>
                <w:kern w:val="0"/>
                <w:sz w:val="16"/>
                <w:szCs w:val="16"/>
              </w:rPr>
            </w:pPr>
            <w:r>
              <w:rPr>
                <w:rFonts w:ascii="宋体" w:hAnsi="宋体" w:eastAsia="宋体" w:cs="宋体"/>
                <w:kern w:val="0"/>
                <w:sz w:val="16"/>
                <w:szCs w:val="16"/>
              </w:rPr>
              <w:pict>
                <v:rect id="_x0000_i1025" o:spt="1" style="height:1.5pt;width:0.05pt;" fillcolor="#FF0000" filled="t" stroked="f" coordsize="21600,21600" o:hr="t" o:hrstd="t" o:hrnoshade="t" o:hralign="center">
                  <v:path/>
                  <v:fill on="t" focussize="0,0"/>
                  <v:stroke on="f"/>
                  <v:imagedata o:title=""/>
                  <o:lock v:ext="edit"/>
                  <w10:wrap type="none"/>
                  <w10:anchorlock/>
                </v:rect>
              </w:pict>
            </w:r>
          </w:p>
        </w:tc>
      </w:tr>
    </w:tbl>
    <w:p w14:paraId="59267A82">
      <w:pPr>
        <w:jc w:val="center"/>
        <w:rPr>
          <w:rFonts w:hint="eastAsia" w:ascii="仿宋" w:hAnsi="仿宋" w:eastAsia="仿宋"/>
          <w:sz w:val="32"/>
          <w:szCs w:val="32"/>
          <w:highlight w:val="none"/>
        </w:rPr>
      </w:pPr>
      <w:r>
        <w:rPr>
          <w:rFonts w:hint="eastAsia" w:ascii="仿宋" w:hAnsi="仿宋" w:eastAsia="仿宋"/>
          <w:sz w:val="32"/>
          <w:szCs w:val="32"/>
          <w:lang w:val="en-US" w:eastAsia="zh-CN"/>
        </w:rPr>
        <w:t xml:space="preserve">                                院字</w:t>
      </w:r>
      <w:r>
        <w:rPr>
          <w:rFonts w:ascii="仿宋_GB2312" w:hAnsi="宋体" w:eastAsia="仿宋_GB2312" w:cs="宋体"/>
          <w:kern w:val="0"/>
          <w:sz w:val="32"/>
          <w:szCs w:val="32"/>
        </w:rPr>
        <w:t>〔</w:t>
      </w:r>
      <w:r>
        <w:rPr>
          <w:rFonts w:hint="eastAsia" w:ascii="仿宋" w:hAnsi="仿宋" w:eastAsia="仿宋"/>
          <w:sz w:val="32"/>
          <w:szCs w:val="32"/>
        </w:rPr>
        <w:t>2</w:t>
      </w:r>
      <w:r>
        <w:rPr>
          <w:rFonts w:hint="eastAsia" w:ascii="仿宋" w:hAnsi="仿宋" w:eastAsia="仿宋"/>
          <w:sz w:val="32"/>
          <w:szCs w:val="32"/>
          <w:highlight w:val="none"/>
        </w:rPr>
        <w:t>0</w:t>
      </w:r>
      <w:r>
        <w:rPr>
          <w:rFonts w:hint="eastAsia" w:ascii="仿宋" w:hAnsi="仿宋" w:eastAsia="仿宋"/>
          <w:sz w:val="32"/>
          <w:szCs w:val="32"/>
          <w:highlight w:val="none"/>
          <w:lang w:val="en-US" w:eastAsia="zh-CN"/>
        </w:rPr>
        <w:t>24</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8</w:t>
      </w:r>
      <w:r>
        <w:rPr>
          <w:rFonts w:hint="eastAsia" w:ascii="仿宋" w:hAnsi="仿宋" w:eastAsia="仿宋"/>
          <w:sz w:val="32"/>
          <w:szCs w:val="32"/>
          <w:highlight w:val="none"/>
        </w:rPr>
        <w:t>号</w:t>
      </w:r>
    </w:p>
    <w:p w14:paraId="6172120A">
      <w:pPr>
        <w:ind w:right="640"/>
        <w:jc w:val="center"/>
        <w:rPr>
          <w:rFonts w:hint="eastAsia" w:ascii="宋体" w:hAnsi="宋体" w:eastAsia="宋体" w:cs="Times New Roman"/>
          <w:b/>
          <w:sz w:val="44"/>
          <w:szCs w:val="44"/>
          <w:lang w:val="en-US" w:eastAsia="zh-CN"/>
        </w:rPr>
      </w:pPr>
    </w:p>
    <w:p w14:paraId="5829E318">
      <w:pPr>
        <w:ind w:right="640"/>
        <w:jc w:val="center"/>
        <w:rPr>
          <w:rFonts w:hint="eastAsia" w:ascii="宋体" w:hAnsi="宋体" w:eastAsia="宋体" w:cs="Times New Roman"/>
          <w:b/>
          <w:sz w:val="44"/>
          <w:szCs w:val="44"/>
        </w:rPr>
      </w:pPr>
      <w:r>
        <w:rPr>
          <w:rFonts w:hint="eastAsia" w:ascii="宋体" w:hAnsi="宋体" w:eastAsia="宋体" w:cs="Times New Roman"/>
          <w:b/>
          <w:sz w:val="44"/>
          <w:szCs w:val="44"/>
          <w:lang w:val="en-US" w:eastAsia="zh-CN"/>
        </w:rPr>
        <w:t xml:space="preserve">  土木工程学院</w:t>
      </w:r>
      <w:r>
        <w:rPr>
          <w:rFonts w:hint="eastAsia" w:ascii="宋体" w:hAnsi="宋体" w:eastAsia="宋体" w:cs="Times New Roman"/>
          <w:b/>
          <w:sz w:val="44"/>
          <w:szCs w:val="44"/>
        </w:rPr>
        <w:t>教师</w:t>
      </w:r>
      <w:r>
        <w:rPr>
          <w:rFonts w:hint="eastAsia" w:ascii="宋体" w:hAnsi="宋体" w:eastAsia="宋体" w:cs="Times New Roman"/>
          <w:b/>
          <w:sz w:val="44"/>
          <w:szCs w:val="44"/>
          <w:lang w:val="en-US" w:eastAsia="zh-CN"/>
        </w:rPr>
        <w:t>教育</w:t>
      </w:r>
      <w:r>
        <w:rPr>
          <w:rFonts w:hint="eastAsia" w:ascii="宋体" w:hAnsi="宋体" w:eastAsia="宋体" w:cs="Times New Roman"/>
          <w:b/>
          <w:sz w:val="44"/>
          <w:szCs w:val="44"/>
        </w:rPr>
        <w:t>教学工作质量</w:t>
      </w:r>
    </w:p>
    <w:p w14:paraId="622C8A8F">
      <w:pPr>
        <w:ind w:right="640"/>
        <w:jc w:val="center"/>
        <w:rPr>
          <w:rFonts w:hint="eastAsia" w:ascii="宋体" w:hAnsi="宋体" w:eastAsia="宋体" w:cs="Times New Roman"/>
          <w:b/>
          <w:sz w:val="44"/>
          <w:szCs w:val="44"/>
          <w:lang w:val="en-US" w:eastAsia="zh-CN"/>
        </w:rPr>
      </w:pPr>
      <w:r>
        <w:rPr>
          <w:rFonts w:hint="eastAsia" w:ascii="宋体" w:hAnsi="宋体" w:eastAsia="宋体" w:cs="Times New Roman"/>
          <w:b/>
          <w:sz w:val="44"/>
          <w:szCs w:val="44"/>
        </w:rPr>
        <w:t>考核</w:t>
      </w:r>
      <w:r>
        <w:rPr>
          <w:rFonts w:hint="eastAsia" w:ascii="宋体" w:hAnsi="宋体" w:eastAsia="宋体" w:cs="Times New Roman"/>
          <w:b/>
          <w:sz w:val="44"/>
          <w:szCs w:val="44"/>
          <w:lang w:val="en-US" w:eastAsia="zh-CN"/>
        </w:rPr>
        <w:t>细则</w:t>
      </w:r>
    </w:p>
    <w:p w14:paraId="046981AA">
      <w:pPr>
        <w:ind w:right="640"/>
        <w:jc w:val="center"/>
        <w:rPr>
          <w:rFonts w:hint="eastAsia" w:ascii="宋体" w:hAnsi="宋体" w:eastAsia="宋体"/>
          <w:b/>
          <w:bCs w:val="0"/>
          <w:sz w:val="32"/>
          <w:szCs w:val="32"/>
          <w:lang w:val="en-US" w:eastAsia="zh-CN"/>
        </w:rPr>
      </w:pPr>
      <w:r>
        <w:rPr>
          <w:rFonts w:hint="eastAsia" w:ascii="宋体" w:hAnsi="宋体" w:eastAsia="宋体" w:cs="Times New Roman"/>
          <w:b/>
          <w:sz w:val="32"/>
          <w:szCs w:val="32"/>
          <w:lang w:val="en-US" w:eastAsia="zh-CN"/>
        </w:rPr>
        <w:t>（ 2024版 征求意见试行）</w:t>
      </w:r>
    </w:p>
    <w:p w14:paraId="7F4135F0">
      <w:pPr>
        <w:keepNext w:val="0"/>
        <w:keepLines w:val="0"/>
        <w:pageBreakBefore w:val="0"/>
        <w:widowControl w:val="0"/>
        <w:kinsoku/>
        <w:wordWrap/>
        <w:overflowPunct/>
        <w:topLinePunct w:val="0"/>
        <w:autoSpaceDE/>
        <w:autoSpaceDN/>
        <w:bidi w:val="0"/>
        <w:adjustRightInd/>
        <w:snapToGrid/>
        <w:spacing w:before="157" w:beforeLines="50"/>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根据《安徽建筑大学教师本科教学工作质量考核办法》（校字〔2022〕23号）、《安徽建筑大学本科毕业设计（论文）管理规定》《安徽建筑大学课堂教学质量标准（试行）》、《安徽建筑大学实验教学质量标准（试行）》、《安徽建筑大学实习实训质量标准（试行）》、《安徽建筑大学课程设计管理办法（试行）》、《安徽建筑大学本科生学业导师工作管理办法》等质量标准制定了本考核细则。</w:t>
      </w:r>
    </w:p>
    <w:p w14:paraId="00DAD34D">
      <w:pPr>
        <w:numPr>
          <w:ilvl w:val="0"/>
          <w:numId w:val="1"/>
        </w:numPr>
        <w:ind w:right="-92" w:rightChars="-44"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考核基本要求</w:t>
      </w:r>
    </w:p>
    <w:p w14:paraId="350DCD92">
      <w:p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1.突出教育教学实绩，把认真履行教育教学职责作为评价教师的基本要求，引导教师上好每一节课、关爱每一个学生。</w:t>
      </w:r>
    </w:p>
    <w:p w14:paraId="4E188BDD">
      <w:p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2.多维度考评教学规范、教学运行、课堂教学效果、教学改革与研究、教学获奖等教师教学工作实绩。</w:t>
      </w:r>
    </w:p>
    <w:p w14:paraId="33B0E46A">
      <w:p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3.使教师本科教学工作质量评价考核成为体现学校教学改革导向、反映教师教育教学业绩和形成学校教学质量文化的助推器。</w:t>
      </w:r>
    </w:p>
    <w:p w14:paraId="1EFF9632">
      <w:pPr>
        <w:numPr>
          <w:ilvl w:val="0"/>
          <w:numId w:val="1"/>
        </w:numPr>
        <w:ind w:right="-92" w:rightChars="-44"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考核对象及范围</w:t>
      </w:r>
    </w:p>
    <w:p w14:paraId="75154C53">
      <w:p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教学质量评价的对象为学院有授课专职教师、实验教师和有课程任务的其他在岗人员，评价内容涉及教学过程中的理论和实践环节。</w:t>
      </w:r>
    </w:p>
    <w:p w14:paraId="0BD98BD7">
      <w:pPr>
        <w:numPr>
          <w:ilvl w:val="0"/>
          <w:numId w:val="1"/>
        </w:numPr>
        <w:ind w:right="-92" w:rightChars="-44"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考核组织</w:t>
      </w:r>
    </w:p>
    <w:p w14:paraId="39D98E38">
      <w:pPr>
        <w:keepNext w:val="0"/>
        <w:keepLines w:val="0"/>
        <w:pageBreakBefore w:val="0"/>
        <w:widowControl w:val="0"/>
        <w:numPr>
          <w:ilvl w:val="0"/>
          <w:numId w:val="2"/>
        </w:numPr>
        <w:kinsoku/>
        <w:wordWrap/>
        <w:overflowPunct/>
        <w:topLinePunct w:val="0"/>
        <w:autoSpaceDE/>
        <w:autoSpaceDN/>
        <w:bidi w:val="0"/>
        <w:adjustRightInd/>
        <w:snapToGrid/>
        <w:ind w:left="0" w:leftChars="0"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基本要求</w:t>
      </w:r>
    </w:p>
    <w:p w14:paraId="34253FDD">
      <w:pPr>
        <w:keepNext w:val="0"/>
        <w:keepLines w:val="0"/>
        <w:pageBreakBefore w:val="0"/>
        <w:widowControl w:val="0"/>
        <w:numPr>
          <w:ilvl w:val="0"/>
          <w:numId w:val="0"/>
        </w:numPr>
        <w:kinsoku/>
        <w:wordWrap/>
        <w:overflowPunct/>
        <w:topLinePunct w:val="0"/>
        <w:autoSpaceDE/>
        <w:autoSpaceDN/>
        <w:bidi w:val="0"/>
        <w:adjustRightInd/>
        <w:snapToGrid/>
        <w:ind w:left="0" w:leftChars="0"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教师教学质量评价每学年进行一次。各系（教研室、实验中心）要做好宣传工作，使学院全体教师统一思想，提高认识，正确对待教学质量评价工作。同时要求学生和其他参评人员要严肃认真，以负责的态度对教师进行评价。</w:t>
      </w:r>
    </w:p>
    <w:p w14:paraId="6E6C8F88">
      <w:pPr>
        <w:keepNext w:val="0"/>
        <w:keepLines w:val="0"/>
        <w:pageBreakBefore w:val="0"/>
        <w:widowControl w:val="0"/>
        <w:numPr>
          <w:ilvl w:val="0"/>
          <w:numId w:val="2"/>
        </w:numPr>
        <w:kinsoku/>
        <w:wordWrap/>
        <w:overflowPunct/>
        <w:topLinePunct w:val="0"/>
        <w:autoSpaceDE/>
        <w:autoSpaceDN/>
        <w:bidi w:val="0"/>
        <w:adjustRightInd/>
        <w:snapToGrid/>
        <w:ind w:left="0" w:leftChars="0"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组织机构</w:t>
      </w:r>
    </w:p>
    <w:p w14:paraId="31A5D618">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成立由学院党政领导班子成员、教学管理人员的督导组组长等组成的学院教学质量评价领导小组，负责组织、协调、落实相关工作，以保证评价结果的客观、公正、合理。</w:t>
      </w:r>
    </w:p>
    <w:p w14:paraId="11861195">
      <w:pPr>
        <w:numPr>
          <w:ilvl w:val="0"/>
          <w:numId w:val="1"/>
        </w:numPr>
        <w:ind w:left="0" w:leftChars="0" w:right="-92" w:rightChars="-44"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考核基本内容及指标</w:t>
      </w:r>
    </w:p>
    <w:p w14:paraId="7BDDF009">
      <w:pPr>
        <w:numPr>
          <w:ilvl w:val="0"/>
          <w:numId w:val="0"/>
        </w:numPr>
        <w:ind w:right="-92" w:rightChars="-44" w:firstLine="56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考核总分为100分。分为学生评价、同行评价和教学管理人员评价三部分组成。教学质量考核由“A学生评价（60%）+B同行评价（20%）+C教学管理人员评价（20%）”组成，B由专业系（教研室、实验中心）组织完成，报表B-2（见附件）到教学办。</w:t>
      </w:r>
    </w:p>
    <w:p w14:paraId="617784A0">
      <w:pPr>
        <w:numPr>
          <w:ilvl w:val="0"/>
          <w:numId w:val="0"/>
        </w:numPr>
        <w:ind w:right="-92" w:rightChars="-44" w:firstLine="560"/>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考核结果分为“优秀”、“合格”、“基本合格”和“不合格”四个等次。考核成绩按百分制计算，由高到低进行排序，在学院的考核成绩位于前40%（含）的教师，考核结果为“优秀”；位于40%-95%（含）的教师，考核结果为“合格”；位于后5%或连续两年位于后10%的教师考核结果为“基本合格”；“不合格”情形见本细则“六-6”。</w:t>
      </w:r>
    </w:p>
    <w:p w14:paraId="4AFA759F">
      <w:pPr>
        <w:numPr>
          <w:ilvl w:val="0"/>
          <w:numId w:val="1"/>
        </w:numPr>
        <w:ind w:right="-92" w:rightChars="-44"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考核依据</w:t>
      </w:r>
    </w:p>
    <w:p w14:paraId="5E5C9337">
      <w:pPr>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1.学生评价（A）：由教学办依据学校教发中心打包下发的任课教师两学期学评教分值和排名计算平均分，将百分制平均分转化为60分值计入。</w:t>
      </w:r>
    </w:p>
    <w:p w14:paraId="5A93701F">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（1）有本科课堂教学任务的教师，直接以教发中心发布的上半年和下半年的“学评教”分值的平均值计算。</w:t>
      </w:r>
    </w:p>
    <w:p w14:paraId="57E94249">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（2）仅有上半年或下半年某一学期“学评教”分值的，以此学期分值作为年度分计算；排名相同情况下，优先考虑有全年“学评教”分值的教师。</w:t>
      </w:r>
    </w:p>
    <w:p w14:paraId="1527DCFC">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没有本科课堂教学任务造成无“学评教”分值的教师，根据本科实践教学任务情况，“学评教”分值取75分；没有本科课堂教学任务的教师，也无本科实践教学，根据教师指导“双创”类项目或活动情况，分值取70分。</w:t>
      </w:r>
    </w:p>
    <w:p w14:paraId="03AFA2B7">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（4）实验室教师直接以教发中心发布的“学评实”分值的平均值计算，比例按参评实验室教师作为基数。</w:t>
      </w:r>
    </w:p>
    <w:p w14:paraId="2057E315">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2.同行评价（B）：由基层教学组织（专业系、教研室或实验中心）组织实施并完成。</w:t>
      </w:r>
    </w:p>
    <w:p w14:paraId="272C7D00">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（1）评价依据：</w:t>
      </w:r>
    </w:p>
    <w:p w14:paraId="0E11FAD4">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①同行教师随堂听课评价；</w:t>
      </w:r>
    </w:p>
    <w:p w14:paraId="4FE19B98">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②同行教师年度总结评价。</w:t>
      </w:r>
    </w:p>
    <w:p w14:paraId="37B7BD39">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（2）评价人员：</w:t>
      </w:r>
    </w:p>
    <w:p w14:paraId="2DCEA54C">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同专业系（教研室、实验中心）教师互评</w:t>
      </w:r>
    </w:p>
    <w:p w14:paraId="6E960515">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（3）评价要求：</w:t>
      </w:r>
    </w:p>
    <w:p w14:paraId="19492BDF">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①请在表B-1中被评价人的评价“优秀、合格、基本合格和不合格”四个选项中划“O”，完成后投入各专业系（教研室、实验中心）投票箱中；</w:t>
      </w:r>
    </w:p>
    <w:p w14:paraId="36B90374">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②优秀比例≤40%，本专业系（教研室、实验中心）按比例计算优秀人数。</w:t>
      </w:r>
    </w:p>
    <w:p w14:paraId="39B3D6B2">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③不能评为优秀的情形：</w:t>
      </w:r>
    </w:p>
    <w:p w14:paraId="7864ABC9">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出现教学事故者；“学评教”低于50%者；“学评教”低于50%且高于70%但有被学院教学质量评价领导小组认定教学业绩特别突出者除外。</w:t>
      </w:r>
    </w:p>
    <w:p w14:paraId="51937F15">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（4）评价计算公式：</w:t>
      </w:r>
    </w:p>
    <w:p w14:paraId="0C867F81">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评价得分=（优秀票数×95+合格票数×90+基本合格票数×80+不合格票数×50）/总票数，计算后填报汇总表B-2至学院教学办。</w:t>
      </w:r>
    </w:p>
    <w:p w14:paraId="2768AC24">
      <w:pPr>
        <w:numPr>
          <w:ilvl w:val="0"/>
          <w:numId w:val="0"/>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3.教学管理人员评价（C）：由学院组织实施，参与人员由学院党政领导班子成员、教学管理人员和教学督导组组长组成。</w:t>
      </w:r>
    </w:p>
    <w:p w14:paraId="3BBF7AD3">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按全院教师优秀比例≤40%计算优秀人数，上述人员对全院教师依次进行评价，等级分为“优秀、合格、基本合格和不合格”四个选项，采用“评价得分=（优秀票数×95+合格票数×90+基本合格票数×80+不合格票数×50）/总票数”公式来计算该项评价分。   </w:t>
      </w:r>
    </w:p>
    <w:p w14:paraId="688B435F">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评价依据：</w:t>
      </w:r>
    </w:p>
    <w:p w14:paraId="322584AF">
      <w:pPr>
        <w:widowControl w:val="0"/>
        <w:numPr>
          <w:ilvl w:val="0"/>
          <w:numId w:val="0"/>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（作为附件提供给教学管理人员，供评价参考）：</w:t>
      </w:r>
    </w:p>
    <w:p w14:paraId="080A9DF5">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师德师风</w:t>
      </w:r>
    </w:p>
    <w:p w14:paraId="1B4B6588">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涉及师德师风问题者一票否决。</w:t>
      </w:r>
    </w:p>
    <w:p w14:paraId="0583D9A0">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高水平教学成果</w:t>
      </w:r>
    </w:p>
    <w:p w14:paraId="19ED2D35">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依照《安徽建筑大学高水平教学成果激励办法》。</w:t>
      </w:r>
    </w:p>
    <w:p w14:paraId="19C511BD">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指导学生学科竞赛等“双创”成果；</w:t>
      </w:r>
    </w:p>
    <w:p w14:paraId="68578E3A">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themeColor="text1"/>
          <w:sz w:val="32"/>
          <w:szCs w:val="32"/>
          <w:lang w:val="en-US" w:eastAsia="zh-CN"/>
          <w14:textFill>
            <w14:solidFill>
              <w14:schemeClr w14:val="tx1"/>
            </w14:solidFill>
          </w14:textFill>
        </w:rPr>
        <w:t>指导大学生学科竞赛三类竞赛二等奖或四类竞赛一等奖及以上的第1指导教师。</w:t>
      </w:r>
    </w:p>
    <w:p w14:paraId="717D55F9">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承担的教学工作量</w:t>
      </w:r>
    </w:p>
    <w:p w14:paraId="6135849C">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按超过各专业系（教研室）平均教学工作量计算。</w:t>
      </w:r>
    </w:p>
    <w:p w14:paraId="11859617">
      <w:pPr>
        <w:widowControl w:val="0"/>
        <w:numPr>
          <w:ilvl w:val="0"/>
          <w:numId w:val="3"/>
        </w:numPr>
        <w:ind w:right="-92" w:rightChars="-44"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学业导师指导情况</w:t>
      </w:r>
    </w:p>
    <w:p w14:paraId="351DCF9E">
      <w:pPr>
        <w:widowControl w:val="0"/>
        <w:numPr>
          <w:ilvl w:val="0"/>
          <w:numId w:val="0"/>
        </w:numPr>
        <w:ind w:right="-92" w:rightChars="-44"/>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依照《安徽建筑大学本科生学业导师工作管理办法》进行。</w:t>
      </w:r>
    </w:p>
    <w:p w14:paraId="35234DEC">
      <w:pPr>
        <w:widowControl w:val="0"/>
        <w:numPr>
          <w:ilvl w:val="0"/>
          <w:numId w:val="3"/>
        </w:numPr>
        <w:ind w:right="-92" w:rightChars="-44" w:firstLine="640" w:firstLineChars="200"/>
        <w:jc w:val="both"/>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参与招生宣传情况</w:t>
      </w:r>
    </w:p>
    <w:p w14:paraId="0FD33A80">
      <w:pPr>
        <w:widowControl w:val="0"/>
        <w:numPr>
          <w:ilvl w:val="0"/>
          <w:numId w:val="0"/>
        </w:numPr>
        <w:ind w:right="-92" w:rightChars="-44"/>
        <w:jc w:val="both"/>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 xml:space="preserve">    依照当年参加学院及学校招生工作统计名单。</w:t>
      </w:r>
    </w:p>
    <w:p w14:paraId="2AE446CB">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教学资料编写及归档</w:t>
      </w:r>
    </w:p>
    <w:p w14:paraId="50BCD03B">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及时归档者优先，未归档者纳入“基本合格”。</w:t>
      </w:r>
    </w:p>
    <w:p w14:paraId="023095EE">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教学研究项目</w:t>
      </w:r>
    </w:p>
    <w:p w14:paraId="19C945F0">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依照当年教学类项目立项情况，教师发表教研论文情况。</w:t>
      </w:r>
    </w:p>
    <w:p w14:paraId="7EFB1B71">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教学类比赛</w:t>
      </w:r>
    </w:p>
    <w:p w14:paraId="3A7260FF">
      <w:pPr>
        <w:widowControl w:val="0"/>
        <w:numPr>
          <w:ilvl w:val="0"/>
          <w:numId w:val="0"/>
        </w:numPr>
        <w:ind w:right="-92" w:rightChars="-44"/>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学校规定的“三大类”讲课获奖情况，专业类、行业类讲课比赛情况。</w:t>
      </w:r>
    </w:p>
    <w:p w14:paraId="5C86ABB4">
      <w:pPr>
        <w:widowControl w:val="0"/>
        <w:numPr>
          <w:ilvl w:val="0"/>
          <w:numId w:val="3"/>
        </w:numPr>
        <w:ind w:right="-92" w:rightChars="-44" w:firstLine="640" w:firstLineChars="20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参与学院教学类管理的奉献精神情况。</w:t>
      </w:r>
    </w:p>
    <w:p w14:paraId="1495CEDD">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3" w:firstLineChars="200"/>
        <w:jc w:val="both"/>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六、其他考核说明：</w:t>
      </w:r>
    </w:p>
    <w:p w14:paraId="4A42885A">
      <w:pPr>
        <w:numPr>
          <w:ilvl w:val="0"/>
          <w:numId w:val="0"/>
        </w:numPr>
        <w:ind w:right="-92" w:rightChars="-44" w:firstLine="56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1.满足《安徽建筑大学高水平教学成果激励办法》中认定的人员或教学标志性成果（省级教学成果奖一等奖及以上，第一单位、第一获奖人），直接认定为优秀。</w:t>
      </w:r>
    </w:p>
    <w:p w14:paraId="7806E68D">
      <w:pPr>
        <w:numPr>
          <w:ilvl w:val="0"/>
          <w:numId w:val="0"/>
        </w:numPr>
        <w:ind w:right="-92" w:rightChars="-44" w:firstLine="56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2.在“三大类”</w:t>
      </w:r>
      <w:r>
        <w:rPr>
          <w:rFonts w:hint="eastAsia" w:ascii="仿宋" w:hAnsi="仿宋" w:eastAsia="仿宋" w:cs="仿宋"/>
          <w:b w:val="0"/>
          <w:bCs/>
          <w:color w:val="auto"/>
          <w:sz w:val="32"/>
          <w:szCs w:val="32"/>
          <w:lang w:val="en-US" w:eastAsia="zh-CN"/>
        </w:rPr>
        <w:t>教学比赛中</w:t>
      </w:r>
      <w:r>
        <w:rPr>
          <w:rFonts w:hint="eastAsia" w:ascii="仿宋" w:hAnsi="仿宋" w:eastAsia="仿宋" w:cs="仿宋"/>
          <w:b w:val="0"/>
          <w:bCs/>
          <w:sz w:val="32"/>
          <w:szCs w:val="32"/>
          <w:lang w:val="en-US" w:eastAsia="zh-CN"/>
        </w:rPr>
        <w:t>，获得校级三等奖（含）以上，满足“学评教”比例（前70%），直接定为优秀。</w:t>
      </w:r>
      <w:bookmarkStart w:id="0" w:name="_GoBack"/>
      <w:bookmarkEnd w:id="0"/>
    </w:p>
    <w:p w14:paraId="47B352E9">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3.积极参与学院教学管理、</w:t>
      </w:r>
      <w:r>
        <w:rPr>
          <w:rFonts w:hint="eastAsia" w:ascii="仿宋" w:hAnsi="仿宋" w:eastAsia="仿宋" w:cs="仿宋"/>
          <w:b w:val="0"/>
          <w:bCs/>
          <w:color w:val="000000" w:themeColor="text1"/>
          <w:sz w:val="32"/>
          <w:szCs w:val="32"/>
          <w:lang w:val="en-US" w:eastAsia="zh-CN"/>
          <w14:textFill>
            <w14:solidFill>
              <w14:schemeClr w14:val="tx1"/>
            </w14:solidFill>
          </w14:textFill>
        </w:rPr>
        <w:t>学业导师、招生宣传和指导学科竞赛等工作，</w:t>
      </w:r>
      <w:r>
        <w:rPr>
          <w:rFonts w:hint="eastAsia" w:ascii="仿宋" w:hAnsi="仿宋" w:eastAsia="仿宋" w:cs="仿宋"/>
          <w:b w:val="0"/>
          <w:bCs/>
          <w:sz w:val="32"/>
          <w:szCs w:val="32"/>
          <w:lang w:val="en-US" w:eastAsia="zh-CN"/>
        </w:rPr>
        <w:t>有突出贡献者，在满足“学评教”比例（前70%）要求下，提名由学院党政联席会议讨论并投票超半数同意后，定为优秀。</w:t>
      </w:r>
    </w:p>
    <w:p w14:paraId="5D03ECD2">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4.“学评教”本科教学各学期和学年第一名老师，颁发学期和年度“学生最喜爱的老师”荣誉证书并公开表扬。</w:t>
      </w:r>
    </w:p>
    <w:p w14:paraId="388AF1F0">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5.考核优秀的老师，作为学院质量工程项目申报排序的重要依据。</w:t>
      </w:r>
    </w:p>
    <w:p w14:paraId="0767026E">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6.教师有下列情形之一，认定“不合格”：</w:t>
      </w:r>
    </w:p>
    <w:p w14:paraId="57CCD8CF">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（1）校字[2022]23号文中认定“不合格”的情形；</w:t>
      </w:r>
    </w:p>
    <w:p w14:paraId="3E62737E">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（2）不参加或不配合各专业系（教研室、实验室）组织的各类教学活动和专业认证、审核评估等任务分配；</w:t>
      </w:r>
    </w:p>
    <w:p w14:paraId="4C07757C">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（3）学院教师本科教学工作质量考核小组认定为“不合格”的其他情形。</w:t>
      </w:r>
    </w:p>
    <w:p w14:paraId="5F421D0B">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7.对考核结果有异议的教师须于考核结果公布后当天内向学院教学办提出申诉，由学院教师本科教学工作质量考核小组做出裁定。</w:t>
      </w:r>
    </w:p>
    <w:p w14:paraId="52415946">
      <w:pPr>
        <w:keepNext w:val="0"/>
        <w:keepLines w:val="0"/>
        <w:pageBreakBefore w:val="0"/>
        <w:widowControl w:val="0"/>
        <w:numPr>
          <w:ilvl w:val="0"/>
          <w:numId w:val="0"/>
        </w:numPr>
        <w:kinsoku/>
        <w:wordWrap/>
        <w:overflowPunct/>
        <w:topLinePunct w:val="0"/>
        <w:autoSpaceDE/>
        <w:autoSpaceDN/>
        <w:bidi w:val="0"/>
        <w:adjustRightInd/>
        <w:snapToGrid/>
        <w:ind w:right="-92" w:rightChars="-44"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8.土木工程学院各年度教师教学工作质量考核工作细则如需修订完善，需经学院党委会通过后执行。</w:t>
      </w:r>
    </w:p>
    <w:p w14:paraId="591D771A">
      <w:pPr>
        <w:numPr>
          <w:ilvl w:val="0"/>
          <w:numId w:val="0"/>
        </w:numPr>
        <w:ind w:right="-92" w:rightChars="-44" w:firstLine="560"/>
        <w:jc w:val="both"/>
        <w:rPr>
          <w:rFonts w:hint="eastAsia" w:ascii="仿宋" w:hAnsi="仿宋" w:eastAsia="仿宋" w:cs="仿宋"/>
          <w:b w:val="0"/>
          <w:bCs/>
          <w:sz w:val="28"/>
          <w:szCs w:val="28"/>
          <w:lang w:val="en-US" w:eastAsia="zh-CN"/>
        </w:rPr>
      </w:pPr>
    </w:p>
    <w:p w14:paraId="62CB7D21">
      <w:pPr>
        <w:numPr>
          <w:ilvl w:val="0"/>
          <w:numId w:val="0"/>
        </w:numPr>
        <w:ind w:right="-92" w:rightChars="-44" w:firstLine="560"/>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附表B-1  同行评价表</w:t>
      </w:r>
    </w:p>
    <w:p w14:paraId="065260B0">
      <w:pPr>
        <w:numPr>
          <w:ilvl w:val="0"/>
          <w:numId w:val="0"/>
        </w:numPr>
        <w:ind w:right="-92" w:rightChars="-44" w:firstLine="560"/>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附表B-2  同行评价汇总表</w:t>
      </w:r>
    </w:p>
    <w:p w14:paraId="302FF433">
      <w:pP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br w:type="page"/>
      </w:r>
    </w:p>
    <w:tbl>
      <w:tblPr>
        <w:tblStyle w:val="2"/>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34"/>
        <w:gridCol w:w="946"/>
        <w:gridCol w:w="93"/>
        <w:gridCol w:w="807"/>
        <w:gridCol w:w="508"/>
        <w:gridCol w:w="531"/>
        <w:gridCol w:w="1015"/>
        <w:gridCol w:w="104"/>
        <w:gridCol w:w="992"/>
        <w:gridCol w:w="335"/>
        <w:gridCol w:w="2423"/>
      </w:tblGrid>
      <w:tr w14:paraId="141D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385" w:type="dxa"/>
            <w:gridSpan w:val="12"/>
            <w:tcBorders>
              <w:top w:val="nil"/>
              <w:left w:val="nil"/>
              <w:bottom w:val="nil"/>
              <w:right w:val="nil"/>
            </w:tcBorders>
            <w:shd w:val="clear" w:color="auto" w:fill="auto"/>
            <w:noWrap/>
            <w:vAlign w:val="center"/>
          </w:tcPr>
          <w:p w14:paraId="571D4FA2">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表B-1   同行评价表</w:t>
            </w:r>
          </w:p>
        </w:tc>
      </w:tr>
      <w:tr w14:paraId="1101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7E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09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EA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优秀</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F7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合格</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5B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基本合格</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D0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不合格</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CE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评价依据及要求</w:t>
            </w:r>
          </w:p>
        </w:tc>
      </w:tr>
      <w:tr w14:paraId="2CA3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4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712A">
            <w:pPr>
              <w:jc w:val="cente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68FF">
            <w:pPr>
              <w:jc w:val="cente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1ED0">
            <w:pPr>
              <w:jc w:val="cente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B75F">
            <w:pPr>
              <w:jc w:val="cente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0475">
            <w:pPr>
              <w:jc w:val="center"/>
              <w:rPr>
                <w:rFonts w:hint="eastAsia" w:ascii="宋体" w:hAnsi="宋体" w:eastAsia="宋体" w:cs="宋体"/>
                <w:i w:val="0"/>
                <w:iCs w:val="0"/>
                <w:color w:val="000000"/>
                <w:sz w:val="21"/>
                <w:szCs w:val="21"/>
                <w:u w:val="none"/>
              </w:rPr>
            </w:pPr>
          </w:p>
        </w:tc>
        <w:tc>
          <w:tcPr>
            <w:tcW w:w="2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B155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评价要求：</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①请在被评价人的评价选项中划“</w:t>
            </w:r>
            <w:r>
              <w:rPr>
                <w:rFonts w:hint="default" w:ascii="Times New Roman" w:hAnsi="Times New Roman" w:eastAsia="宋体" w:cs="Times New Roman"/>
                <w:i w:val="0"/>
                <w:iCs w:val="0"/>
                <w:color w:val="000000"/>
                <w:kern w:val="0"/>
                <w:sz w:val="21"/>
                <w:szCs w:val="21"/>
                <w:u w:val="none"/>
                <w:lang w:val="en-US" w:eastAsia="zh-CN" w:bidi="ar"/>
              </w:rPr>
              <w:t>O</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②优秀比例</w:t>
            </w:r>
            <w:r>
              <w:rPr>
                <w:rFonts w:hint="default" w:ascii="Times New Roman" w:hAnsi="Times New Roman" w:eastAsia="宋体" w:cs="Times New Roman"/>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，本专业系（教研室、实验中心）按比例计算优秀人数为：</w:t>
            </w:r>
            <w:r>
              <w:rPr>
                <w:rFonts w:hint="default" w:ascii="Times New Roman" w:hAnsi="Times New Roman" w:eastAsia="宋体" w:cs="Times New Roman"/>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（此处系主任填写）</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③不能评为优秀的情形：出现教学事故者；学评教低于</w:t>
            </w: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者（因教发中心下半年学评教数据未打包发布，后期若有达到此比例者，排序在教学管理人员评价中调整）</w:t>
            </w:r>
            <w:r>
              <w:rPr>
                <w:rStyle w:val="9"/>
                <w:sz w:val="21"/>
                <w:szCs w:val="21"/>
                <w:lang w:val="en-US" w:eastAsia="zh-CN" w:bidi="ar"/>
              </w:rPr>
              <w:br w:type="textWrapping"/>
            </w:r>
            <w:r>
              <w:rPr>
                <w:rStyle w:val="9"/>
                <w:sz w:val="21"/>
                <w:szCs w:val="21"/>
                <w:lang w:val="en-US" w:eastAsia="zh-CN" w:bidi="ar"/>
              </w:rPr>
              <w:br w:type="textWrapping"/>
            </w:r>
            <w:r>
              <w:rPr>
                <w:rStyle w:val="9"/>
                <w:sz w:val="21"/>
                <w:szCs w:val="21"/>
                <w:lang w:val="en-US" w:eastAsia="zh-CN" w:bidi="ar"/>
              </w:rPr>
              <w:t>评价人员：</w:t>
            </w:r>
            <w:r>
              <w:rPr>
                <w:rStyle w:val="9"/>
                <w:sz w:val="21"/>
                <w:szCs w:val="21"/>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同专业系（教研室、实验中心）教师互评</w:t>
            </w:r>
            <w:r>
              <w:rPr>
                <w:rFonts w:hint="eastAsia" w:ascii="宋体" w:hAnsi="宋体" w:eastAsia="宋体" w:cs="宋体"/>
                <w:i w:val="0"/>
                <w:iCs w:val="0"/>
                <w:color w:val="000000"/>
                <w:kern w:val="0"/>
                <w:sz w:val="21"/>
                <w:szCs w:val="21"/>
                <w:u w:val="none"/>
                <w:lang w:val="en-US" w:eastAsia="zh-CN" w:bidi="ar"/>
              </w:rPr>
              <w:br w:type="textWrapping"/>
            </w:r>
            <w:r>
              <w:rPr>
                <w:rStyle w:val="9"/>
                <w:sz w:val="21"/>
                <w:szCs w:val="21"/>
                <w:lang w:val="en-US" w:eastAsia="zh-CN" w:bidi="ar"/>
              </w:rPr>
              <w:br w:type="textWrapping"/>
            </w:r>
            <w:r>
              <w:rPr>
                <w:rStyle w:val="9"/>
                <w:sz w:val="21"/>
                <w:szCs w:val="21"/>
                <w:lang w:val="en-US" w:eastAsia="zh-CN" w:bidi="ar"/>
              </w:rPr>
              <w:t>评价依据：</w:t>
            </w:r>
            <w:r>
              <w:rPr>
                <w:rStyle w:val="10"/>
                <w:rFonts w:eastAsia="宋体"/>
                <w:sz w:val="21"/>
                <w:szCs w:val="21"/>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①同行教师随堂听课评价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②同行教师年度总结评价</w:t>
            </w:r>
            <w:r>
              <w:rPr>
                <w:rStyle w:val="10"/>
                <w:rFonts w:eastAsia="宋体"/>
                <w:sz w:val="21"/>
                <w:szCs w:val="21"/>
                <w:lang w:val="en-US" w:eastAsia="zh-CN" w:bidi="ar"/>
              </w:rPr>
              <w:br w:type="textWrapping"/>
            </w:r>
            <w:r>
              <w:rPr>
                <w:rStyle w:val="10"/>
                <w:rFonts w:eastAsia="宋体"/>
                <w:sz w:val="21"/>
                <w:szCs w:val="21"/>
                <w:lang w:val="en-US" w:eastAsia="zh-CN" w:bidi="ar"/>
              </w:rPr>
              <w:br w:type="textWrapping"/>
            </w:r>
            <w:r>
              <w:rPr>
                <w:rStyle w:val="11"/>
                <w:sz w:val="21"/>
                <w:szCs w:val="21"/>
                <w:lang w:val="en-US" w:eastAsia="zh-CN" w:bidi="ar"/>
              </w:rPr>
              <w:t>评价计算公式：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评价得分</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（优秀票数</w:t>
            </w:r>
            <w:r>
              <w:rPr>
                <w:rFonts w:hint="default" w:ascii="Times New Roman" w:hAnsi="Times New Roman" w:eastAsia="宋体" w:cs="Times New Roman"/>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合格票数</w:t>
            </w:r>
            <w:r>
              <w:rPr>
                <w:rFonts w:hint="default" w:ascii="Times New Roman" w:hAnsi="Times New Roman" w:eastAsia="宋体" w:cs="Times New Roman"/>
                <w:i w:val="0"/>
                <w:iCs w:val="0"/>
                <w:color w:val="000000"/>
                <w:kern w:val="0"/>
                <w:sz w:val="21"/>
                <w:szCs w:val="21"/>
                <w:u w:val="none"/>
                <w:lang w:val="en-US" w:eastAsia="zh-CN" w:bidi="ar"/>
              </w:rPr>
              <w:t>×90+</w:t>
            </w:r>
            <w:r>
              <w:rPr>
                <w:rFonts w:hint="eastAsia" w:ascii="宋体" w:hAnsi="宋体" w:eastAsia="宋体" w:cs="宋体"/>
                <w:i w:val="0"/>
                <w:iCs w:val="0"/>
                <w:color w:val="000000"/>
                <w:kern w:val="0"/>
                <w:sz w:val="21"/>
                <w:szCs w:val="21"/>
                <w:u w:val="none"/>
                <w:lang w:val="en-US" w:eastAsia="zh-CN" w:bidi="ar"/>
              </w:rPr>
              <w:t>基本合格票数</w:t>
            </w:r>
            <w:r>
              <w:rPr>
                <w:rFonts w:hint="default" w:ascii="Times New Roman" w:hAnsi="Times New Roman" w:eastAsia="宋体" w:cs="Times New Roman"/>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不合格票数</w:t>
            </w: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总票数，计算后填报汇总表B-2至学院教学办。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Style w:val="9"/>
                <w:sz w:val="21"/>
                <w:szCs w:val="21"/>
                <w:lang w:val="en-US" w:eastAsia="zh-CN" w:bidi="ar"/>
              </w:rPr>
              <w:t>评价说明：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教学质量考核由“A学生评价（60%）+B同行评价（20%）+C教学管理人员评价（20%）”组成，B由专业系（教研室、实验中心）组织完成，报表B-2到教学办。</w:t>
            </w:r>
          </w:p>
        </w:tc>
      </w:tr>
      <w:tr w14:paraId="6146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D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A082">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DB55">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45E">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6B5C">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E6A">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B252">
            <w:pPr>
              <w:jc w:val="left"/>
              <w:rPr>
                <w:rFonts w:hint="eastAsia" w:ascii="宋体" w:hAnsi="宋体" w:eastAsia="宋体" w:cs="宋体"/>
                <w:b/>
                <w:bCs/>
                <w:i w:val="0"/>
                <w:iCs w:val="0"/>
                <w:color w:val="000000"/>
                <w:sz w:val="21"/>
                <w:szCs w:val="21"/>
                <w:u w:val="none"/>
              </w:rPr>
            </w:pPr>
          </w:p>
        </w:tc>
      </w:tr>
      <w:tr w14:paraId="0323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8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6841">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9B58">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BA0B">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3CCD">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98E3">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672A">
            <w:pPr>
              <w:jc w:val="left"/>
              <w:rPr>
                <w:rFonts w:hint="eastAsia" w:ascii="宋体" w:hAnsi="宋体" w:eastAsia="宋体" w:cs="宋体"/>
                <w:b/>
                <w:bCs/>
                <w:i w:val="0"/>
                <w:iCs w:val="0"/>
                <w:color w:val="000000"/>
                <w:sz w:val="21"/>
                <w:szCs w:val="21"/>
                <w:u w:val="none"/>
              </w:rPr>
            </w:pPr>
          </w:p>
        </w:tc>
      </w:tr>
      <w:tr w14:paraId="3D05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5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801A">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E830">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2DBC">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F27B">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7957">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7DE4">
            <w:pPr>
              <w:jc w:val="left"/>
              <w:rPr>
                <w:rFonts w:hint="eastAsia" w:ascii="宋体" w:hAnsi="宋体" w:eastAsia="宋体" w:cs="宋体"/>
                <w:b/>
                <w:bCs/>
                <w:i w:val="0"/>
                <w:iCs w:val="0"/>
                <w:color w:val="000000"/>
                <w:sz w:val="21"/>
                <w:szCs w:val="21"/>
                <w:u w:val="none"/>
              </w:rPr>
            </w:pPr>
          </w:p>
        </w:tc>
      </w:tr>
      <w:tr w14:paraId="7994B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D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D9EE">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39C0">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D77D">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8D4E">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394">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745C">
            <w:pPr>
              <w:jc w:val="left"/>
              <w:rPr>
                <w:rFonts w:hint="eastAsia" w:ascii="宋体" w:hAnsi="宋体" w:eastAsia="宋体" w:cs="宋体"/>
                <w:b/>
                <w:bCs/>
                <w:i w:val="0"/>
                <w:iCs w:val="0"/>
                <w:color w:val="000000"/>
                <w:sz w:val="21"/>
                <w:szCs w:val="21"/>
                <w:u w:val="none"/>
              </w:rPr>
            </w:pPr>
          </w:p>
        </w:tc>
      </w:tr>
      <w:tr w14:paraId="0A2E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5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D47">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FE0A">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EFCC">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7112">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C6B1">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910A">
            <w:pPr>
              <w:jc w:val="left"/>
              <w:rPr>
                <w:rFonts w:hint="eastAsia" w:ascii="宋体" w:hAnsi="宋体" w:eastAsia="宋体" w:cs="宋体"/>
                <w:b/>
                <w:bCs/>
                <w:i w:val="0"/>
                <w:iCs w:val="0"/>
                <w:color w:val="000000"/>
                <w:sz w:val="21"/>
                <w:szCs w:val="21"/>
                <w:u w:val="none"/>
              </w:rPr>
            </w:pPr>
          </w:p>
        </w:tc>
      </w:tr>
      <w:tr w14:paraId="4D5A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960D">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E875">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A1AB">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799B">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2C56">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AFBE">
            <w:pPr>
              <w:jc w:val="left"/>
              <w:rPr>
                <w:rFonts w:hint="eastAsia" w:ascii="宋体" w:hAnsi="宋体" w:eastAsia="宋体" w:cs="宋体"/>
                <w:b/>
                <w:bCs/>
                <w:i w:val="0"/>
                <w:iCs w:val="0"/>
                <w:color w:val="000000"/>
                <w:sz w:val="21"/>
                <w:szCs w:val="21"/>
                <w:u w:val="none"/>
              </w:rPr>
            </w:pPr>
          </w:p>
        </w:tc>
      </w:tr>
      <w:tr w14:paraId="0C8C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7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57EE">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FD6E">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0B47">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4CFB">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8EA">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3FC3">
            <w:pPr>
              <w:jc w:val="left"/>
              <w:rPr>
                <w:rFonts w:hint="eastAsia" w:ascii="宋体" w:hAnsi="宋体" w:eastAsia="宋体" w:cs="宋体"/>
                <w:b/>
                <w:bCs/>
                <w:i w:val="0"/>
                <w:iCs w:val="0"/>
                <w:color w:val="000000"/>
                <w:sz w:val="21"/>
                <w:szCs w:val="21"/>
                <w:u w:val="none"/>
              </w:rPr>
            </w:pPr>
          </w:p>
        </w:tc>
      </w:tr>
      <w:tr w14:paraId="6073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21B0">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B6A6">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E12B">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150F">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4B73">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4D1F">
            <w:pPr>
              <w:jc w:val="left"/>
              <w:rPr>
                <w:rFonts w:hint="eastAsia" w:ascii="宋体" w:hAnsi="宋体" w:eastAsia="宋体" w:cs="宋体"/>
                <w:b/>
                <w:bCs/>
                <w:i w:val="0"/>
                <w:iCs w:val="0"/>
                <w:color w:val="000000"/>
                <w:sz w:val="21"/>
                <w:szCs w:val="21"/>
                <w:u w:val="none"/>
              </w:rPr>
            </w:pPr>
          </w:p>
        </w:tc>
      </w:tr>
      <w:tr w14:paraId="03E8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8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F1DA">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37E">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7466">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1FC6">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ED66">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F2A8">
            <w:pPr>
              <w:jc w:val="left"/>
              <w:rPr>
                <w:rFonts w:hint="eastAsia" w:ascii="宋体" w:hAnsi="宋体" w:eastAsia="宋体" w:cs="宋体"/>
                <w:b/>
                <w:bCs/>
                <w:i w:val="0"/>
                <w:iCs w:val="0"/>
                <w:color w:val="000000"/>
                <w:sz w:val="21"/>
                <w:szCs w:val="21"/>
                <w:u w:val="none"/>
              </w:rPr>
            </w:pPr>
          </w:p>
        </w:tc>
      </w:tr>
      <w:tr w14:paraId="7032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8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7E20">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E95D">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E66C">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9BC1">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54AE">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0E08">
            <w:pPr>
              <w:jc w:val="left"/>
              <w:rPr>
                <w:rFonts w:hint="eastAsia" w:ascii="宋体" w:hAnsi="宋体" w:eastAsia="宋体" w:cs="宋体"/>
                <w:b/>
                <w:bCs/>
                <w:i w:val="0"/>
                <w:iCs w:val="0"/>
                <w:color w:val="000000"/>
                <w:sz w:val="21"/>
                <w:szCs w:val="21"/>
                <w:u w:val="none"/>
              </w:rPr>
            </w:pPr>
          </w:p>
        </w:tc>
      </w:tr>
      <w:tr w14:paraId="63D3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A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9F28">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C068">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8CFA">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92A1">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E0BE">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18D0">
            <w:pPr>
              <w:jc w:val="left"/>
              <w:rPr>
                <w:rFonts w:hint="eastAsia" w:ascii="宋体" w:hAnsi="宋体" w:eastAsia="宋体" w:cs="宋体"/>
                <w:b/>
                <w:bCs/>
                <w:i w:val="0"/>
                <w:iCs w:val="0"/>
                <w:color w:val="000000"/>
                <w:sz w:val="21"/>
                <w:szCs w:val="21"/>
                <w:u w:val="none"/>
              </w:rPr>
            </w:pPr>
          </w:p>
        </w:tc>
      </w:tr>
      <w:tr w14:paraId="7CC7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2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93A8">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7E4F">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DEC1">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1A0">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28C0">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C236">
            <w:pPr>
              <w:jc w:val="left"/>
              <w:rPr>
                <w:rFonts w:hint="eastAsia" w:ascii="宋体" w:hAnsi="宋体" w:eastAsia="宋体" w:cs="宋体"/>
                <w:b/>
                <w:bCs/>
                <w:i w:val="0"/>
                <w:iCs w:val="0"/>
                <w:color w:val="000000"/>
                <w:sz w:val="21"/>
                <w:szCs w:val="21"/>
                <w:u w:val="none"/>
              </w:rPr>
            </w:pPr>
          </w:p>
        </w:tc>
      </w:tr>
      <w:tr w14:paraId="4562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4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5838">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5947">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2D80">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CA40">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D7B0">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7811">
            <w:pPr>
              <w:jc w:val="left"/>
              <w:rPr>
                <w:rFonts w:hint="eastAsia" w:ascii="宋体" w:hAnsi="宋体" w:eastAsia="宋体" w:cs="宋体"/>
                <w:b/>
                <w:bCs/>
                <w:i w:val="0"/>
                <w:iCs w:val="0"/>
                <w:color w:val="000000"/>
                <w:sz w:val="21"/>
                <w:szCs w:val="21"/>
                <w:u w:val="none"/>
              </w:rPr>
            </w:pPr>
          </w:p>
        </w:tc>
      </w:tr>
      <w:tr w14:paraId="3CCD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E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07F7">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EDC8">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F970">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70BF">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96DE">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61EA">
            <w:pPr>
              <w:jc w:val="left"/>
              <w:rPr>
                <w:rFonts w:hint="eastAsia" w:ascii="宋体" w:hAnsi="宋体" w:eastAsia="宋体" w:cs="宋体"/>
                <w:b/>
                <w:bCs/>
                <w:i w:val="0"/>
                <w:iCs w:val="0"/>
                <w:color w:val="000000"/>
                <w:sz w:val="21"/>
                <w:szCs w:val="21"/>
                <w:u w:val="none"/>
              </w:rPr>
            </w:pPr>
          </w:p>
        </w:tc>
      </w:tr>
      <w:tr w14:paraId="5878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D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CEE8">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DFCC">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2685">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FB53">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80AB">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BE68">
            <w:pPr>
              <w:jc w:val="left"/>
              <w:rPr>
                <w:rFonts w:hint="eastAsia" w:ascii="宋体" w:hAnsi="宋体" w:eastAsia="宋体" w:cs="宋体"/>
                <w:b/>
                <w:bCs/>
                <w:i w:val="0"/>
                <w:iCs w:val="0"/>
                <w:color w:val="000000"/>
                <w:sz w:val="21"/>
                <w:szCs w:val="21"/>
                <w:u w:val="none"/>
              </w:rPr>
            </w:pPr>
          </w:p>
        </w:tc>
      </w:tr>
      <w:tr w14:paraId="5730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C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5DBE">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F0D7">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2819">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35A8">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8EEF">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C86D">
            <w:pPr>
              <w:jc w:val="left"/>
              <w:rPr>
                <w:rFonts w:hint="eastAsia" w:ascii="宋体" w:hAnsi="宋体" w:eastAsia="宋体" w:cs="宋体"/>
                <w:b/>
                <w:bCs/>
                <w:i w:val="0"/>
                <w:iCs w:val="0"/>
                <w:color w:val="000000"/>
                <w:sz w:val="21"/>
                <w:szCs w:val="21"/>
                <w:u w:val="none"/>
              </w:rPr>
            </w:pPr>
          </w:p>
        </w:tc>
      </w:tr>
      <w:tr w14:paraId="69DE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2E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327E">
            <w:pPr>
              <w:rPr>
                <w:rFonts w:hint="eastAsia" w:ascii="宋体" w:hAnsi="宋体" w:eastAsia="宋体" w:cs="宋体"/>
                <w:i w:val="0"/>
                <w:iCs w:val="0"/>
                <w:color w:val="000000"/>
                <w:sz w:val="21"/>
                <w:szCs w:val="2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0010">
            <w:pPr>
              <w:rPr>
                <w:rFonts w:hint="eastAsia" w:ascii="宋体" w:hAnsi="宋体" w:eastAsia="宋体" w:cs="宋体"/>
                <w:i w:val="0"/>
                <w:iCs w:val="0"/>
                <w:color w:val="000000"/>
                <w:sz w:val="21"/>
                <w:szCs w:val="21"/>
                <w:u w:val="none"/>
              </w:rPr>
            </w:pP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73EE">
            <w:pPr>
              <w:rPr>
                <w:rFonts w:hint="eastAsia" w:ascii="宋体" w:hAnsi="宋体" w:eastAsia="宋体" w:cs="宋体"/>
                <w:i w:val="0"/>
                <w:iCs w:val="0"/>
                <w:color w:val="000000"/>
                <w:sz w:val="21"/>
                <w:szCs w:val="21"/>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8E64">
            <w:pPr>
              <w:rPr>
                <w:rFonts w:hint="eastAsia" w:ascii="宋体" w:hAnsi="宋体" w:eastAsia="宋体" w:cs="宋体"/>
                <w:i w:val="0"/>
                <w:iCs w:val="0"/>
                <w:color w:val="000000"/>
                <w:sz w:val="21"/>
                <w:szCs w:val="21"/>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D09D">
            <w:pPr>
              <w:rPr>
                <w:rFonts w:hint="eastAsia" w:ascii="宋体" w:hAnsi="宋体" w:eastAsia="宋体" w:cs="宋体"/>
                <w:i w:val="0"/>
                <w:iCs w:val="0"/>
                <w:color w:val="000000"/>
                <w:sz w:val="21"/>
                <w:szCs w:val="21"/>
                <w:u w:val="none"/>
              </w:rPr>
            </w:pPr>
          </w:p>
        </w:tc>
        <w:tc>
          <w:tcPr>
            <w:tcW w:w="2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B7C8">
            <w:pPr>
              <w:jc w:val="left"/>
              <w:rPr>
                <w:rFonts w:hint="eastAsia" w:ascii="宋体" w:hAnsi="宋体" w:eastAsia="宋体" w:cs="宋体"/>
                <w:b/>
                <w:bCs/>
                <w:i w:val="0"/>
                <w:iCs w:val="0"/>
                <w:color w:val="000000"/>
                <w:sz w:val="21"/>
                <w:szCs w:val="21"/>
                <w:u w:val="none"/>
              </w:rPr>
            </w:pPr>
          </w:p>
        </w:tc>
      </w:tr>
      <w:tr w14:paraId="4FD7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85" w:type="dxa"/>
            <w:gridSpan w:val="12"/>
            <w:tcBorders>
              <w:top w:val="nil"/>
              <w:left w:val="nil"/>
              <w:bottom w:val="nil"/>
              <w:right w:val="nil"/>
            </w:tcBorders>
            <w:shd w:val="clear" w:color="auto" w:fill="auto"/>
            <w:noWrap/>
            <w:vAlign w:val="center"/>
          </w:tcPr>
          <w:p w14:paraId="352CD14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54072ED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1EF662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表B-2   同行评价排序汇总表</w:t>
            </w:r>
          </w:p>
        </w:tc>
      </w:tr>
      <w:tr w14:paraId="2BFE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10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AC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3E4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评价得分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（百分制）</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358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评价得分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（20分制）</w:t>
            </w: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C8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考核等级</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3C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评价依据及要求</w:t>
            </w:r>
          </w:p>
        </w:tc>
      </w:tr>
      <w:tr w14:paraId="7377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6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3B9F">
            <w:pPr>
              <w:jc w:val="cente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D4F9">
            <w:pPr>
              <w:jc w:val="cente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C288">
            <w:pPr>
              <w:jc w:val="cente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793B">
            <w:pPr>
              <w:jc w:val="center"/>
              <w:rPr>
                <w:rFonts w:hint="eastAsia" w:ascii="宋体" w:hAnsi="宋体" w:eastAsia="宋体" w:cs="宋体"/>
                <w:i w:val="0"/>
                <w:iCs w:val="0"/>
                <w:color w:val="000000"/>
                <w:sz w:val="21"/>
                <w:szCs w:val="21"/>
                <w:u w:val="none"/>
              </w:rPr>
            </w:pPr>
          </w:p>
        </w:tc>
        <w:tc>
          <w:tcPr>
            <w:tcW w:w="24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F5D292">
            <w:pPr>
              <w:keepNext w:val="0"/>
              <w:keepLines w:val="0"/>
              <w:widowControl/>
              <w:suppressLineNumbers w:val="0"/>
              <w:jc w:val="left"/>
              <w:textAlignment w:val="top"/>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br w:type="textWrapping"/>
            </w:r>
            <w:r>
              <w:rPr>
                <w:rStyle w:val="4"/>
                <w:sz w:val="21"/>
                <w:szCs w:val="21"/>
                <w:lang w:val="en-US" w:eastAsia="zh-CN" w:bidi="ar"/>
              </w:rPr>
              <w:t>评价计算公式：</w:t>
            </w:r>
            <w:r>
              <w:rPr>
                <w:rStyle w:val="5"/>
                <w:rFonts w:eastAsia="宋体"/>
                <w:sz w:val="21"/>
                <w:szCs w:val="21"/>
                <w:lang w:val="en-US" w:eastAsia="zh-CN" w:bidi="ar"/>
              </w:rPr>
              <w:br w:type="textWrapping"/>
            </w:r>
            <w:r>
              <w:rPr>
                <w:rStyle w:val="6"/>
                <w:sz w:val="21"/>
                <w:szCs w:val="21"/>
                <w:lang w:val="en-US" w:eastAsia="zh-CN" w:bidi="ar"/>
              </w:rPr>
              <w:t>评价得分</w:t>
            </w:r>
            <w:r>
              <w:rPr>
                <w:rStyle w:val="5"/>
                <w:rFonts w:eastAsia="宋体"/>
                <w:sz w:val="21"/>
                <w:szCs w:val="21"/>
                <w:lang w:val="en-US" w:eastAsia="zh-CN" w:bidi="ar"/>
              </w:rPr>
              <w:t>=</w:t>
            </w:r>
            <w:r>
              <w:rPr>
                <w:rStyle w:val="6"/>
                <w:sz w:val="21"/>
                <w:szCs w:val="21"/>
                <w:lang w:val="en-US" w:eastAsia="zh-CN" w:bidi="ar"/>
              </w:rPr>
              <w:t>（优秀票数</w:t>
            </w:r>
            <w:r>
              <w:rPr>
                <w:rStyle w:val="5"/>
                <w:rFonts w:eastAsia="宋体"/>
                <w:sz w:val="21"/>
                <w:szCs w:val="21"/>
                <w:lang w:val="en-US" w:eastAsia="zh-CN" w:bidi="ar"/>
              </w:rPr>
              <w:t>×95+</w:t>
            </w:r>
            <w:r>
              <w:rPr>
                <w:rStyle w:val="6"/>
                <w:sz w:val="21"/>
                <w:szCs w:val="21"/>
                <w:lang w:val="en-US" w:eastAsia="zh-CN" w:bidi="ar"/>
              </w:rPr>
              <w:t>合格票数</w:t>
            </w:r>
            <w:r>
              <w:rPr>
                <w:rStyle w:val="5"/>
                <w:rFonts w:eastAsia="宋体"/>
                <w:sz w:val="21"/>
                <w:szCs w:val="21"/>
                <w:lang w:val="en-US" w:eastAsia="zh-CN" w:bidi="ar"/>
              </w:rPr>
              <w:t>×90+</w:t>
            </w:r>
            <w:r>
              <w:rPr>
                <w:rStyle w:val="6"/>
                <w:sz w:val="21"/>
                <w:szCs w:val="21"/>
                <w:lang w:val="en-US" w:eastAsia="zh-CN" w:bidi="ar"/>
              </w:rPr>
              <w:t>基本合格票数</w:t>
            </w:r>
            <w:r>
              <w:rPr>
                <w:rStyle w:val="5"/>
                <w:rFonts w:eastAsia="宋体"/>
                <w:sz w:val="21"/>
                <w:szCs w:val="21"/>
                <w:lang w:val="en-US" w:eastAsia="zh-CN" w:bidi="ar"/>
              </w:rPr>
              <w:t>×80+</w:t>
            </w:r>
            <w:r>
              <w:rPr>
                <w:rStyle w:val="6"/>
                <w:sz w:val="21"/>
                <w:szCs w:val="21"/>
                <w:lang w:val="en-US" w:eastAsia="zh-CN" w:bidi="ar"/>
              </w:rPr>
              <w:t>不合格票数</w:t>
            </w:r>
            <w:r>
              <w:rPr>
                <w:rStyle w:val="5"/>
                <w:rFonts w:eastAsia="宋体"/>
                <w:sz w:val="21"/>
                <w:szCs w:val="21"/>
                <w:lang w:val="en-US" w:eastAsia="zh-CN" w:bidi="ar"/>
              </w:rPr>
              <w:t>×50</w:t>
            </w:r>
            <w:r>
              <w:rPr>
                <w:rStyle w:val="6"/>
                <w:sz w:val="21"/>
                <w:szCs w:val="21"/>
                <w:lang w:val="en-US" w:eastAsia="zh-CN" w:bidi="ar"/>
              </w:rPr>
              <w:t>）</w:t>
            </w:r>
            <w:r>
              <w:rPr>
                <w:rStyle w:val="5"/>
                <w:rFonts w:eastAsia="宋体"/>
                <w:sz w:val="21"/>
                <w:szCs w:val="21"/>
                <w:lang w:val="en-US" w:eastAsia="zh-CN" w:bidi="ar"/>
              </w:rPr>
              <w:t>/</w:t>
            </w:r>
            <w:r>
              <w:rPr>
                <w:rStyle w:val="6"/>
                <w:sz w:val="21"/>
                <w:szCs w:val="21"/>
                <w:lang w:val="en-US" w:eastAsia="zh-CN" w:bidi="ar"/>
              </w:rPr>
              <w:t>总票数，计算得分保留两位小数，报本表</w:t>
            </w:r>
            <w:r>
              <w:rPr>
                <w:rStyle w:val="5"/>
                <w:rFonts w:eastAsia="宋体"/>
                <w:sz w:val="21"/>
                <w:szCs w:val="21"/>
                <w:lang w:val="en-US" w:eastAsia="zh-CN" w:bidi="ar"/>
              </w:rPr>
              <w:t>B-2</w:t>
            </w:r>
            <w:r>
              <w:rPr>
                <w:rStyle w:val="6"/>
                <w:sz w:val="21"/>
                <w:szCs w:val="21"/>
                <w:lang w:val="en-US" w:eastAsia="zh-CN" w:bidi="ar"/>
              </w:rPr>
              <w:t>至学院教学办。</w:t>
            </w:r>
            <w:r>
              <w:rPr>
                <w:rStyle w:val="6"/>
                <w:sz w:val="21"/>
                <w:szCs w:val="21"/>
                <w:lang w:val="en-US" w:eastAsia="zh-CN" w:bidi="ar"/>
              </w:rPr>
              <w:br w:type="textWrapping"/>
            </w:r>
            <w:r>
              <w:rPr>
                <w:rStyle w:val="6"/>
                <w:sz w:val="21"/>
                <w:szCs w:val="21"/>
                <w:lang w:val="en-US" w:eastAsia="zh-CN" w:bidi="ar"/>
              </w:rPr>
              <w:br w:type="textWrapping"/>
            </w:r>
            <w:r>
              <w:rPr>
                <w:rStyle w:val="4"/>
                <w:sz w:val="21"/>
                <w:szCs w:val="21"/>
                <w:lang w:val="en-US" w:eastAsia="zh-CN" w:bidi="ar"/>
              </w:rPr>
              <w:t>填写要求：</w:t>
            </w:r>
            <w:r>
              <w:rPr>
                <w:rStyle w:val="4"/>
                <w:sz w:val="21"/>
                <w:szCs w:val="21"/>
                <w:lang w:val="en-US" w:eastAsia="zh-CN" w:bidi="ar"/>
              </w:rPr>
              <w:br w:type="textWrapping"/>
            </w:r>
            <w:r>
              <w:rPr>
                <w:rStyle w:val="6"/>
                <w:sz w:val="21"/>
                <w:szCs w:val="21"/>
                <w:lang w:val="en-US" w:eastAsia="zh-CN" w:bidi="ar"/>
              </w:rPr>
              <w:t>①优秀比例≤40%，本专业系（教研室、实验中心）按比例计算优秀人数为：</w:t>
            </w:r>
            <w:r>
              <w:rPr>
                <w:rStyle w:val="7"/>
                <w:sz w:val="21"/>
                <w:szCs w:val="21"/>
                <w:lang w:val="en-US" w:eastAsia="zh-CN" w:bidi="ar"/>
              </w:rPr>
              <w:t xml:space="preserve">    </w:t>
            </w:r>
            <w:r>
              <w:rPr>
                <w:rStyle w:val="6"/>
                <w:sz w:val="21"/>
                <w:szCs w:val="21"/>
                <w:lang w:val="en-US" w:eastAsia="zh-CN" w:bidi="ar"/>
              </w:rPr>
              <w:t>。并在“考核等级”一栏中填写“优秀”</w:t>
            </w:r>
            <w:r>
              <w:rPr>
                <w:rStyle w:val="6"/>
                <w:sz w:val="21"/>
                <w:szCs w:val="21"/>
                <w:lang w:val="en-US" w:eastAsia="zh-CN" w:bidi="ar"/>
              </w:rPr>
              <w:br w:type="textWrapping"/>
            </w:r>
            <w:r>
              <w:rPr>
                <w:rStyle w:val="6"/>
                <w:sz w:val="21"/>
                <w:szCs w:val="21"/>
                <w:lang w:val="en-US" w:eastAsia="zh-CN" w:bidi="ar"/>
              </w:rPr>
              <w:t>②不能评为优秀的情形：出现教学事故者；学评教低于</w:t>
            </w:r>
            <w:r>
              <w:rPr>
                <w:rStyle w:val="8"/>
                <w:rFonts w:hint="default" w:ascii="Times New Roman" w:hAnsi="Times New Roman" w:eastAsia="宋体" w:cs="Times New Roman"/>
                <w:sz w:val="21"/>
                <w:szCs w:val="21"/>
                <w:lang w:val="en-US" w:eastAsia="zh-CN" w:bidi="ar"/>
              </w:rPr>
              <w:t>50%</w:t>
            </w:r>
            <w:r>
              <w:rPr>
                <w:rStyle w:val="6"/>
                <w:sz w:val="21"/>
                <w:szCs w:val="21"/>
                <w:lang w:val="en-US" w:eastAsia="zh-CN" w:bidi="ar"/>
              </w:rPr>
              <w:t>者（因教发中心下半年学评教数据未打包发布，后期若有达到此比例者，排序在教学管理人员评价中调整）</w:t>
            </w:r>
            <w:r>
              <w:rPr>
                <w:rStyle w:val="6"/>
                <w:sz w:val="21"/>
                <w:szCs w:val="21"/>
                <w:lang w:val="en-US" w:eastAsia="zh-CN" w:bidi="ar"/>
              </w:rPr>
              <w:br w:type="textWrapping"/>
            </w:r>
            <w:r>
              <w:rPr>
                <w:rStyle w:val="6"/>
                <w:sz w:val="21"/>
                <w:szCs w:val="21"/>
                <w:lang w:val="en-US" w:eastAsia="zh-CN" w:bidi="ar"/>
              </w:rPr>
              <w:br w:type="textWrapping"/>
            </w:r>
            <w:r>
              <w:rPr>
                <w:rStyle w:val="4"/>
                <w:sz w:val="21"/>
                <w:szCs w:val="21"/>
                <w:lang w:val="en-US" w:eastAsia="zh-CN" w:bidi="ar"/>
              </w:rPr>
              <w:t>评价说明：</w:t>
            </w:r>
            <w:r>
              <w:rPr>
                <w:rStyle w:val="6"/>
                <w:sz w:val="21"/>
                <w:szCs w:val="21"/>
                <w:lang w:val="en-US" w:eastAsia="zh-CN" w:bidi="ar"/>
              </w:rPr>
              <w:br w:type="textWrapping"/>
            </w:r>
            <w:r>
              <w:rPr>
                <w:rStyle w:val="6"/>
                <w:sz w:val="21"/>
                <w:szCs w:val="21"/>
                <w:lang w:val="en-US" w:eastAsia="zh-CN" w:bidi="ar"/>
              </w:rPr>
              <w:t>教学质量考核由“A学生评价（60%）+B同行评价（20%）+C教学管理人员评价（20%）”组成，B同行评价由专业系（教研室、实验中心）组织完成。</w:t>
            </w:r>
          </w:p>
        </w:tc>
      </w:tr>
      <w:tr w14:paraId="557A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F5E9">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5739">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2A9A">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7AED">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2667CB">
            <w:pPr>
              <w:jc w:val="left"/>
              <w:rPr>
                <w:rFonts w:hint="default" w:ascii="Calibri" w:hAnsi="Calibri" w:eastAsia="宋体" w:cs="Calibri"/>
                <w:i w:val="0"/>
                <w:iCs w:val="0"/>
                <w:color w:val="000000"/>
                <w:sz w:val="21"/>
                <w:szCs w:val="21"/>
                <w:u w:val="none"/>
              </w:rPr>
            </w:pPr>
          </w:p>
        </w:tc>
      </w:tr>
      <w:tr w14:paraId="099F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3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77B9">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604A">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B934">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8993">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6ED220">
            <w:pPr>
              <w:jc w:val="left"/>
              <w:rPr>
                <w:rFonts w:hint="default" w:ascii="Calibri" w:hAnsi="Calibri" w:eastAsia="宋体" w:cs="Calibri"/>
                <w:i w:val="0"/>
                <w:iCs w:val="0"/>
                <w:color w:val="000000"/>
                <w:sz w:val="21"/>
                <w:szCs w:val="21"/>
                <w:u w:val="none"/>
              </w:rPr>
            </w:pPr>
          </w:p>
        </w:tc>
      </w:tr>
      <w:tr w14:paraId="3D4D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9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5C4C">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303">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01DE">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E8C">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22D2B8">
            <w:pPr>
              <w:jc w:val="left"/>
              <w:rPr>
                <w:rFonts w:hint="default" w:ascii="Calibri" w:hAnsi="Calibri" w:eastAsia="宋体" w:cs="Calibri"/>
                <w:i w:val="0"/>
                <w:iCs w:val="0"/>
                <w:color w:val="000000"/>
                <w:sz w:val="21"/>
                <w:szCs w:val="21"/>
                <w:u w:val="none"/>
              </w:rPr>
            </w:pPr>
          </w:p>
        </w:tc>
      </w:tr>
      <w:tr w14:paraId="6814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247A">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B0F9">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82C3">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FFD3">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2B9513">
            <w:pPr>
              <w:jc w:val="left"/>
              <w:rPr>
                <w:rFonts w:hint="default" w:ascii="Calibri" w:hAnsi="Calibri" w:eastAsia="宋体" w:cs="Calibri"/>
                <w:i w:val="0"/>
                <w:iCs w:val="0"/>
                <w:color w:val="000000"/>
                <w:sz w:val="21"/>
                <w:szCs w:val="21"/>
                <w:u w:val="none"/>
              </w:rPr>
            </w:pPr>
          </w:p>
        </w:tc>
      </w:tr>
      <w:tr w14:paraId="1CEE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0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EF62">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3B31">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DCB">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D0AE">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2F6ABF">
            <w:pPr>
              <w:jc w:val="left"/>
              <w:rPr>
                <w:rFonts w:hint="default" w:ascii="Calibri" w:hAnsi="Calibri" w:eastAsia="宋体" w:cs="Calibri"/>
                <w:i w:val="0"/>
                <w:iCs w:val="0"/>
                <w:color w:val="000000"/>
                <w:sz w:val="21"/>
                <w:szCs w:val="21"/>
                <w:u w:val="none"/>
              </w:rPr>
            </w:pPr>
          </w:p>
        </w:tc>
      </w:tr>
      <w:tr w14:paraId="1925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E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9EB2">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1020">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768E">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26B">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56B7ED">
            <w:pPr>
              <w:jc w:val="left"/>
              <w:rPr>
                <w:rFonts w:hint="default" w:ascii="Calibri" w:hAnsi="Calibri" w:eastAsia="宋体" w:cs="Calibri"/>
                <w:i w:val="0"/>
                <w:iCs w:val="0"/>
                <w:color w:val="000000"/>
                <w:sz w:val="21"/>
                <w:szCs w:val="21"/>
                <w:u w:val="none"/>
              </w:rPr>
            </w:pPr>
          </w:p>
        </w:tc>
      </w:tr>
      <w:tr w14:paraId="6439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2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28CA">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8023">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DCDE">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F012">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E3BA5B">
            <w:pPr>
              <w:jc w:val="left"/>
              <w:rPr>
                <w:rFonts w:hint="default" w:ascii="Calibri" w:hAnsi="Calibri" w:eastAsia="宋体" w:cs="Calibri"/>
                <w:i w:val="0"/>
                <w:iCs w:val="0"/>
                <w:color w:val="000000"/>
                <w:sz w:val="21"/>
                <w:szCs w:val="21"/>
                <w:u w:val="none"/>
              </w:rPr>
            </w:pPr>
          </w:p>
        </w:tc>
      </w:tr>
      <w:tr w14:paraId="6034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2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0D37">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1288">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963F">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AB5">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BEEB2D">
            <w:pPr>
              <w:jc w:val="left"/>
              <w:rPr>
                <w:rFonts w:hint="default" w:ascii="Calibri" w:hAnsi="Calibri" w:eastAsia="宋体" w:cs="Calibri"/>
                <w:i w:val="0"/>
                <w:iCs w:val="0"/>
                <w:color w:val="000000"/>
                <w:sz w:val="21"/>
                <w:szCs w:val="21"/>
                <w:u w:val="none"/>
              </w:rPr>
            </w:pPr>
          </w:p>
        </w:tc>
      </w:tr>
      <w:tr w14:paraId="5FC5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19AD">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32E2">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1EF7">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B0DD">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D4B897">
            <w:pPr>
              <w:jc w:val="left"/>
              <w:rPr>
                <w:rFonts w:hint="default" w:ascii="Calibri" w:hAnsi="Calibri" w:eastAsia="宋体" w:cs="Calibri"/>
                <w:i w:val="0"/>
                <w:iCs w:val="0"/>
                <w:color w:val="000000"/>
                <w:sz w:val="21"/>
                <w:szCs w:val="21"/>
                <w:u w:val="none"/>
              </w:rPr>
            </w:pPr>
          </w:p>
        </w:tc>
      </w:tr>
      <w:tr w14:paraId="7522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7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D8AA">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D617">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AD10">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75DF">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FE038B">
            <w:pPr>
              <w:jc w:val="left"/>
              <w:rPr>
                <w:rFonts w:hint="default" w:ascii="Calibri" w:hAnsi="Calibri" w:eastAsia="宋体" w:cs="Calibri"/>
                <w:i w:val="0"/>
                <w:iCs w:val="0"/>
                <w:color w:val="000000"/>
                <w:sz w:val="21"/>
                <w:szCs w:val="21"/>
                <w:u w:val="none"/>
              </w:rPr>
            </w:pPr>
          </w:p>
        </w:tc>
      </w:tr>
      <w:tr w14:paraId="6349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F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8FF6">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E93">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9640">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3F61">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8DE6D0">
            <w:pPr>
              <w:jc w:val="left"/>
              <w:rPr>
                <w:rFonts w:hint="default" w:ascii="Calibri" w:hAnsi="Calibri" w:eastAsia="宋体" w:cs="Calibri"/>
                <w:i w:val="0"/>
                <w:iCs w:val="0"/>
                <w:color w:val="000000"/>
                <w:sz w:val="21"/>
                <w:szCs w:val="21"/>
                <w:u w:val="none"/>
              </w:rPr>
            </w:pPr>
          </w:p>
        </w:tc>
      </w:tr>
      <w:tr w14:paraId="6E16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F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38A8">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B22">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84B6">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7DD2">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36BFFC">
            <w:pPr>
              <w:jc w:val="left"/>
              <w:rPr>
                <w:rFonts w:hint="default" w:ascii="Calibri" w:hAnsi="Calibri" w:eastAsia="宋体" w:cs="Calibri"/>
                <w:i w:val="0"/>
                <w:iCs w:val="0"/>
                <w:color w:val="000000"/>
                <w:sz w:val="21"/>
                <w:szCs w:val="21"/>
                <w:u w:val="none"/>
              </w:rPr>
            </w:pPr>
          </w:p>
        </w:tc>
      </w:tr>
      <w:tr w14:paraId="247E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C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A850">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FCB0">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19A5">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959">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3083E9">
            <w:pPr>
              <w:jc w:val="left"/>
              <w:rPr>
                <w:rFonts w:hint="default" w:ascii="Calibri" w:hAnsi="Calibri" w:eastAsia="宋体" w:cs="Calibri"/>
                <w:i w:val="0"/>
                <w:iCs w:val="0"/>
                <w:color w:val="000000"/>
                <w:sz w:val="21"/>
                <w:szCs w:val="21"/>
                <w:u w:val="none"/>
              </w:rPr>
            </w:pPr>
          </w:p>
        </w:tc>
      </w:tr>
      <w:tr w14:paraId="14E2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5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40B9">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5B8D">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1CA1">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8449">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DE2D9B">
            <w:pPr>
              <w:jc w:val="left"/>
              <w:rPr>
                <w:rFonts w:hint="default" w:ascii="Calibri" w:hAnsi="Calibri" w:eastAsia="宋体" w:cs="Calibri"/>
                <w:i w:val="0"/>
                <w:iCs w:val="0"/>
                <w:color w:val="000000"/>
                <w:sz w:val="21"/>
                <w:szCs w:val="21"/>
                <w:u w:val="none"/>
              </w:rPr>
            </w:pPr>
          </w:p>
        </w:tc>
      </w:tr>
      <w:tr w14:paraId="1B9E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E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3D89">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70C5">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283">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B456">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F091F7">
            <w:pPr>
              <w:jc w:val="left"/>
              <w:rPr>
                <w:rFonts w:hint="default" w:ascii="Calibri" w:hAnsi="Calibri" w:eastAsia="宋体" w:cs="Calibri"/>
                <w:i w:val="0"/>
                <w:iCs w:val="0"/>
                <w:color w:val="000000"/>
                <w:sz w:val="21"/>
                <w:szCs w:val="21"/>
                <w:u w:val="none"/>
              </w:rPr>
            </w:pPr>
          </w:p>
        </w:tc>
      </w:tr>
      <w:tr w14:paraId="1DE4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0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F22">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1784">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42BD">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781E">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3647DA">
            <w:pPr>
              <w:jc w:val="left"/>
              <w:rPr>
                <w:rFonts w:hint="default" w:ascii="Calibri" w:hAnsi="Calibri" w:eastAsia="宋体" w:cs="Calibri"/>
                <w:i w:val="0"/>
                <w:iCs w:val="0"/>
                <w:color w:val="000000"/>
                <w:sz w:val="21"/>
                <w:szCs w:val="21"/>
                <w:u w:val="none"/>
              </w:rPr>
            </w:pPr>
          </w:p>
        </w:tc>
      </w:tr>
      <w:tr w14:paraId="5976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C35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6C67">
            <w:pPr>
              <w:rPr>
                <w:rFonts w:hint="eastAsia" w:ascii="宋体" w:hAnsi="宋体" w:eastAsia="宋体" w:cs="宋体"/>
                <w:i w:val="0"/>
                <w:iCs w:val="0"/>
                <w:color w:val="000000"/>
                <w:sz w:val="21"/>
                <w:szCs w:val="21"/>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3FA1">
            <w:pPr>
              <w:rPr>
                <w:rFonts w:hint="eastAsia" w:ascii="宋体" w:hAnsi="宋体" w:eastAsia="宋体" w:cs="宋体"/>
                <w:i w:val="0"/>
                <w:iCs w:val="0"/>
                <w:color w:val="000000"/>
                <w:sz w:val="21"/>
                <w:szCs w:val="21"/>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2D74">
            <w:pPr>
              <w:rPr>
                <w:rFonts w:hint="eastAsia" w:ascii="宋体" w:hAnsi="宋体" w:eastAsia="宋体" w:cs="宋体"/>
                <w:i w:val="0"/>
                <w:iCs w:val="0"/>
                <w:color w:val="000000"/>
                <w:sz w:val="21"/>
                <w:szCs w:val="21"/>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161E">
            <w:pPr>
              <w:rPr>
                <w:rFonts w:hint="eastAsia" w:ascii="宋体" w:hAnsi="宋体" w:eastAsia="宋体" w:cs="宋体"/>
                <w:i w:val="0"/>
                <w:iCs w:val="0"/>
                <w:color w:val="000000"/>
                <w:sz w:val="21"/>
                <w:szCs w:val="21"/>
                <w:u w:val="none"/>
              </w:rPr>
            </w:pPr>
          </w:p>
        </w:tc>
        <w:tc>
          <w:tcPr>
            <w:tcW w:w="24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D34902">
            <w:pPr>
              <w:jc w:val="left"/>
              <w:rPr>
                <w:rFonts w:hint="default" w:ascii="Calibri" w:hAnsi="Calibri" w:eastAsia="宋体" w:cs="Calibri"/>
                <w:i w:val="0"/>
                <w:iCs w:val="0"/>
                <w:color w:val="000000"/>
                <w:sz w:val="21"/>
                <w:szCs w:val="21"/>
                <w:u w:val="none"/>
              </w:rPr>
            </w:pPr>
          </w:p>
        </w:tc>
      </w:tr>
    </w:tbl>
    <w:p w14:paraId="4E13423C">
      <w:pPr>
        <w:numPr>
          <w:ilvl w:val="0"/>
          <w:numId w:val="0"/>
        </w:numPr>
        <w:ind w:right="-92" w:rightChars="-44"/>
        <w:jc w:val="both"/>
        <w:rPr>
          <w:rFonts w:hint="default" w:ascii="宋体" w:hAnsi="宋体" w:eastAsia="宋体"/>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0BB17"/>
    <w:multiLevelType w:val="singleLevel"/>
    <w:tmpl w:val="93C0BB17"/>
    <w:lvl w:ilvl="0" w:tentative="0">
      <w:start w:val="1"/>
      <w:numFmt w:val="decimal"/>
      <w:suff w:val="nothing"/>
      <w:lvlText w:val="%1．"/>
      <w:lvlJc w:val="left"/>
      <w:pPr>
        <w:ind w:left="560" w:leftChars="0" w:firstLine="0" w:firstLineChars="0"/>
      </w:pPr>
    </w:lvl>
  </w:abstractNum>
  <w:abstractNum w:abstractNumId="1">
    <w:nsid w:val="DFB80D36"/>
    <w:multiLevelType w:val="singleLevel"/>
    <w:tmpl w:val="DFB80D36"/>
    <w:lvl w:ilvl="0" w:tentative="0">
      <w:start w:val="1"/>
      <w:numFmt w:val="chineseCounting"/>
      <w:suff w:val="nothing"/>
      <w:lvlText w:val="%1、"/>
      <w:lvlJc w:val="left"/>
      <w:rPr>
        <w:rFonts w:hint="eastAsia"/>
      </w:rPr>
    </w:lvl>
  </w:abstractNum>
  <w:abstractNum w:abstractNumId="2">
    <w:nsid w:val="1024785E"/>
    <w:multiLevelType w:val="singleLevel"/>
    <w:tmpl w:val="1024785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WRkNjY0OWJmNWUyMzk4Y2IyNDZjYmU5YTA0NDAifQ=="/>
  </w:docVars>
  <w:rsids>
    <w:rsidRoot w:val="77B610CF"/>
    <w:rsid w:val="00737874"/>
    <w:rsid w:val="010F14C9"/>
    <w:rsid w:val="022E26FA"/>
    <w:rsid w:val="02D037B2"/>
    <w:rsid w:val="02E70032"/>
    <w:rsid w:val="034A1ECA"/>
    <w:rsid w:val="03727789"/>
    <w:rsid w:val="03A5079A"/>
    <w:rsid w:val="03C30C20"/>
    <w:rsid w:val="041751C1"/>
    <w:rsid w:val="0428443B"/>
    <w:rsid w:val="047A5783"/>
    <w:rsid w:val="04EB54B4"/>
    <w:rsid w:val="052778F4"/>
    <w:rsid w:val="053973EC"/>
    <w:rsid w:val="05545FD4"/>
    <w:rsid w:val="05647C2B"/>
    <w:rsid w:val="064A2160"/>
    <w:rsid w:val="07990616"/>
    <w:rsid w:val="085F71C0"/>
    <w:rsid w:val="091B22FA"/>
    <w:rsid w:val="09516A0C"/>
    <w:rsid w:val="09572083"/>
    <w:rsid w:val="09A15587"/>
    <w:rsid w:val="0A2148F3"/>
    <w:rsid w:val="0A241CA5"/>
    <w:rsid w:val="0A7477C8"/>
    <w:rsid w:val="0AAC240E"/>
    <w:rsid w:val="0AF747D1"/>
    <w:rsid w:val="0B165733"/>
    <w:rsid w:val="0BFA364D"/>
    <w:rsid w:val="0C4C174B"/>
    <w:rsid w:val="0D0B5B12"/>
    <w:rsid w:val="0D7D62E4"/>
    <w:rsid w:val="0D810CAA"/>
    <w:rsid w:val="0D852781"/>
    <w:rsid w:val="0DF447F8"/>
    <w:rsid w:val="0F242EBB"/>
    <w:rsid w:val="0F6E603C"/>
    <w:rsid w:val="102D3C14"/>
    <w:rsid w:val="109B71AD"/>
    <w:rsid w:val="10A5627E"/>
    <w:rsid w:val="114415F3"/>
    <w:rsid w:val="118F65E6"/>
    <w:rsid w:val="119F4A7B"/>
    <w:rsid w:val="12B8533E"/>
    <w:rsid w:val="139A5D9F"/>
    <w:rsid w:val="13AD4C20"/>
    <w:rsid w:val="13CE33F5"/>
    <w:rsid w:val="13E7095B"/>
    <w:rsid w:val="13F74C4B"/>
    <w:rsid w:val="14176DC6"/>
    <w:rsid w:val="1497412F"/>
    <w:rsid w:val="14C57350"/>
    <w:rsid w:val="1561111E"/>
    <w:rsid w:val="1562473D"/>
    <w:rsid w:val="15ED7568"/>
    <w:rsid w:val="16B2671F"/>
    <w:rsid w:val="17252CA2"/>
    <w:rsid w:val="175E7186"/>
    <w:rsid w:val="188D32F7"/>
    <w:rsid w:val="18AE7C99"/>
    <w:rsid w:val="18B42547"/>
    <w:rsid w:val="18E26645"/>
    <w:rsid w:val="19502794"/>
    <w:rsid w:val="19A7009D"/>
    <w:rsid w:val="19E03E83"/>
    <w:rsid w:val="1A070DED"/>
    <w:rsid w:val="1A4F4592"/>
    <w:rsid w:val="1AC35C7E"/>
    <w:rsid w:val="1AFD2812"/>
    <w:rsid w:val="1B662AAD"/>
    <w:rsid w:val="1B6B1E72"/>
    <w:rsid w:val="1B7C7BDB"/>
    <w:rsid w:val="1C427076"/>
    <w:rsid w:val="1C6E2930"/>
    <w:rsid w:val="1CFA7117"/>
    <w:rsid w:val="1DA13929"/>
    <w:rsid w:val="1DDB508D"/>
    <w:rsid w:val="1DFB4B16"/>
    <w:rsid w:val="1E2B5CAF"/>
    <w:rsid w:val="1E7F010E"/>
    <w:rsid w:val="1EFD7235"/>
    <w:rsid w:val="1F2C36C6"/>
    <w:rsid w:val="20A756FA"/>
    <w:rsid w:val="20B47FFE"/>
    <w:rsid w:val="20DF30E6"/>
    <w:rsid w:val="213827F6"/>
    <w:rsid w:val="216E6218"/>
    <w:rsid w:val="21DB29F7"/>
    <w:rsid w:val="21F901D7"/>
    <w:rsid w:val="22431452"/>
    <w:rsid w:val="22BA5BB9"/>
    <w:rsid w:val="235F050E"/>
    <w:rsid w:val="23907569"/>
    <w:rsid w:val="239A1546"/>
    <w:rsid w:val="23E80503"/>
    <w:rsid w:val="23ED1676"/>
    <w:rsid w:val="24935164"/>
    <w:rsid w:val="25161CCA"/>
    <w:rsid w:val="252251F9"/>
    <w:rsid w:val="25472D7E"/>
    <w:rsid w:val="261E6922"/>
    <w:rsid w:val="262B2929"/>
    <w:rsid w:val="267E514F"/>
    <w:rsid w:val="27FB2C4E"/>
    <w:rsid w:val="280A78D1"/>
    <w:rsid w:val="28C0757D"/>
    <w:rsid w:val="28CB2622"/>
    <w:rsid w:val="290D7C5C"/>
    <w:rsid w:val="294E6773"/>
    <w:rsid w:val="2A1F27A5"/>
    <w:rsid w:val="2A726D79"/>
    <w:rsid w:val="2A877F95"/>
    <w:rsid w:val="2B7B5A07"/>
    <w:rsid w:val="2BC25ADE"/>
    <w:rsid w:val="2C280B9E"/>
    <w:rsid w:val="2C4E2FAB"/>
    <w:rsid w:val="2C792640"/>
    <w:rsid w:val="2D12039F"/>
    <w:rsid w:val="2D1F5D07"/>
    <w:rsid w:val="2DFA493C"/>
    <w:rsid w:val="2E4B3B69"/>
    <w:rsid w:val="2E582B3C"/>
    <w:rsid w:val="2F2D5DB7"/>
    <w:rsid w:val="30DF4A3C"/>
    <w:rsid w:val="328E04C8"/>
    <w:rsid w:val="3301513E"/>
    <w:rsid w:val="33947D60"/>
    <w:rsid w:val="35BA7826"/>
    <w:rsid w:val="37164F30"/>
    <w:rsid w:val="375872F6"/>
    <w:rsid w:val="3791425E"/>
    <w:rsid w:val="37AE5289"/>
    <w:rsid w:val="38575800"/>
    <w:rsid w:val="385B08C0"/>
    <w:rsid w:val="389C1273"/>
    <w:rsid w:val="38C439D3"/>
    <w:rsid w:val="38FF4102"/>
    <w:rsid w:val="3914549F"/>
    <w:rsid w:val="3A296D28"/>
    <w:rsid w:val="3B2D4A24"/>
    <w:rsid w:val="3BCE7B87"/>
    <w:rsid w:val="3C2B6D87"/>
    <w:rsid w:val="3C30439E"/>
    <w:rsid w:val="3C5E53AF"/>
    <w:rsid w:val="3C636420"/>
    <w:rsid w:val="3C6B771E"/>
    <w:rsid w:val="3CFE7129"/>
    <w:rsid w:val="3D163594"/>
    <w:rsid w:val="3D252208"/>
    <w:rsid w:val="3E2D13D7"/>
    <w:rsid w:val="3E9023FC"/>
    <w:rsid w:val="3F163D1F"/>
    <w:rsid w:val="401C4F48"/>
    <w:rsid w:val="406323FC"/>
    <w:rsid w:val="407C5E04"/>
    <w:rsid w:val="40A87761"/>
    <w:rsid w:val="40E84048"/>
    <w:rsid w:val="41876D06"/>
    <w:rsid w:val="42230254"/>
    <w:rsid w:val="422918EA"/>
    <w:rsid w:val="43721740"/>
    <w:rsid w:val="4387505C"/>
    <w:rsid w:val="43C43149"/>
    <w:rsid w:val="44801452"/>
    <w:rsid w:val="44B55D88"/>
    <w:rsid w:val="456E79C4"/>
    <w:rsid w:val="46204C70"/>
    <w:rsid w:val="46380A1F"/>
    <w:rsid w:val="47EB7ED5"/>
    <w:rsid w:val="48904B42"/>
    <w:rsid w:val="48F84495"/>
    <w:rsid w:val="49520C82"/>
    <w:rsid w:val="495F2766"/>
    <w:rsid w:val="49AF724A"/>
    <w:rsid w:val="49DA01B0"/>
    <w:rsid w:val="4A4D2B5E"/>
    <w:rsid w:val="4A606796"/>
    <w:rsid w:val="4A8204BA"/>
    <w:rsid w:val="4BEE3F7C"/>
    <w:rsid w:val="4C395213"/>
    <w:rsid w:val="4CCB6A55"/>
    <w:rsid w:val="4E1A6C5C"/>
    <w:rsid w:val="4E962786"/>
    <w:rsid w:val="4EC173B9"/>
    <w:rsid w:val="4ED71862"/>
    <w:rsid w:val="4F5D7210"/>
    <w:rsid w:val="4FD749A5"/>
    <w:rsid w:val="504306EC"/>
    <w:rsid w:val="50455D41"/>
    <w:rsid w:val="50630D8E"/>
    <w:rsid w:val="50E5781B"/>
    <w:rsid w:val="50FE5BD8"/>
    <w:rsid w:val="510D5C80"/>
    <w:rsid w:val="5131339E"/>
    <w:rsid w:val="515626A1"/>
    <w:rsid w:val="51CC6602"/>
    <w:rsid w:val="53BB7E00"/>
    <w:rsid w:val="54022AD5"/>
    <w:rsid w:val="543E37D8"/>
    <w:rsid w:val="547A0454"/>
    <w:rsid w:val="547F5A6B"/>
    <w:rsid w:val="54D45DB6"/>
    <w:rsid w:val="5591406E"/>
    <w:rsid w:val="55992B5C"/>
    <w:rsid w:val="5621298D"/>
    <w:rsid w:val="5651762B"/>
    <w:rsid w:val="569A1787"/>
    <w:rsid w:val="56D00408"/>
    <w:rsid w:val="572A6415"/>
    <w:rsid w:val="5737293E"/>
    <w:rsid w:val="57632F83"/>
    <w:rsid w:val="57793CFD"/>
    <w:rsid w:val="5A320A7A"/>
    <w:rsid w:val="5A995D31"/>
    <w:rsid w:val="5AE302FB"/>
    <w:rsid w:val="5B6A1223"/>
    <w:rsid w:val="5BCB77E7"/>
    <w:rsid w:val="5CB6414A"/>
    <w:rsid w:val="5CCF237C"/>
    <w:rsid w:val="5DC32E6C"/>
    <w:rsid w:val="5E40626B"/>
    <w:rsid w:val="5E6261E1"/>
    <w:rsid w:val="5F702B80"/>
    <w:rsid w:val="5F7D5CF1"/>
    <w:rsid w:val="5F7F2DC3"/>
    <w:rsid w:val="5FD21144"/>
    <w:rsid w:val="6042141D"/>
    <w:rsid w:val="60A97045"/>
    <w:rsid w:val="60F73D3F"/>
    <w:rsid w:val="60FC22A0"/>
    <w:rsid w:val="612C6F7A"/>
    <w:rsid w:val="61C335F0"/>
    <w:rsid w:val="61C35CE9"/>
    <w:rsid w:val="61D75138"/>
    <w:rsid w:val="631314AE"/>
    <w:rsid w:val="63FB0FF0"/>
    <w:rsid w:val="63FF7A03"/>
    <w:rsid w:val="64406FC4"/>
    <w:rsid w:val="648D5F82"/>
    <w:rsid w:val="64AC465A"/>
    <w:rsid w:val="64E33F0A"/>
    <w:rsid w:val="654F4FE5"/>
    <w:rsid w:val="6587531A"/>
    <w:rsid w:val="659F1EAD"/>
    <w:rsid w:val="65BE0FF0"/>
    <w:rsid w:val="6653184C"/>
    <w:rsid w:val="677F6056"/>
    <w:rsid w:val="678057E1"/>
    <w:rsid w:val="68B46056"/>
    <w:rsid w:val="68D128E1"/>
    <w:rsid w:val="68DA4490"/>
    <w:rsid w:val="694741D7"/>
    <w:rsid w:val="694A66E4"/>
    <w:rsid w:val="69CA3AD4"/>
    <w:rsid w:val="69E800F8"/>
    <w:rsid w:val="6A314E14"/>
    <w:rsid w:val="6A3600C6"/>
    <w:rsid w:val="6A531ADF"/>
    <w:rsid w:val="6A8460CB"/>
    <w:rsid w:val="6A9E67F3"/>
    <w:rsid w:val="6ABD6AEF"/>
    <w:rsid w:val="6AE461D0"/>
    <w:rsid w:val="6B3B2294"/>
    <w:rsid w:val="6B457860"/>
    <w:rsid w:val="6B4C44A1"/>
    <w:rsid w:val="6B5C220A"/>
    <w:rsid w:val="6BE343A5"/>
    <w:rsid w:val="6C004037"/>
    <w:rsid w:val="6C0B19A4"/>
    <w:rsid w:val="6C281B11"/>
    <w:rsid w:val="6C944351"/>
    <w:rsid w:val="6D901D59"/>
    <w:rsid w:val="6DBB0C13"/>
    <w:rsid w:val="6DDC581A"/>
    <w:rsid w:val="6E2A71E2"/>
    <w:rsid w:val="6E6E0BD2"/>
    <w:rsid w:val="6E7D0909"/>
    <w:rsid w:val="6E8B7AD3"/>
    <w:rsid w:val="6ED0363B"/>
    <w:rsid w:val="6EEB3FD1"/>
    <w:rsid w:val="6F0926A9"/>
    <w:rsid w:val="6F837F41"/>
    <w:rsid w:val="6FE05CC6"/>
    <w:rsid w:val="70AB36EB"/>
    <w:rsid w:val="713E3A06"/>
    <w:rsid w:val="71975E81"/>
    <w:rsid w:val="71F25676"/>
    <w:rsid w:val="72693B8A"/>
    <w:rsid w:val="72A46970"/>
    <w:rsid w:val="72CB6A27"/>
    <w:rsid w:val="72CC7B5B"/>
    <w:rsid w:val="72EB27F1"/>
    <w:rsid w:val="730D09BA"/>
    <w:rsid w:val="73383726"/>
    <w:rsid w:val="7405543E"/>
    <w:rsid w:val="743529B3"/>
    <w:rsid w:val="744C2A60"/>
    <w:rsid w:val="745B7CD4"/>
    <w:rsid w:val="748C590E"/>
    <w:rsid w:val="74A73931"/>
    <w:rsid w:val="77074529"/>
    <w:rsid w:val="77337706"/>
    <w:rsid w:val="77B610CF"/>
    <w:rsid w:val="78E33F6B"/>
    <w:rsid w:val="78FC4C6D"/>
    <w:rsid w:val="79445D7A"/>
    <w:rsid w:val="79607369"/>
    <w:rsid w:val="79F521A7"/>
    <w:rsid w:val="7A111026"/>
    <w:rsid w:val="7A1E34AC"/>
    <w:rsid w:val="7A903C7E"/>
    <w:rsid w:val="7B5573A2"/>
    <w:rsid w:val="7BA94BEF"/>
    <w:rsid w:val="7BD837D8"/>
    <w:rsid w:val="7CF46121"/>
    <w:rsid w:val="7E1F7A9F"/>
    <w:rsid w:val="7E2D1F10"/>
    <w:rsid w:val="7E3C2A2D"/>
    <w:rsid w:val="7EDD4F0C"/>
    <w:rsid w:val="7F6A4A47"/>
    <w:rsid w:val="7FA53B7B"/>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61"/>
    <w:basedOn w:val="3"/>
    <w:autoRedefine/>
    <w:qFormat/>
    <w:uiPriority w:val="0"/>
    <w:rPr>
      <w:rFonts w:hint="eastAsia" w:ascii="宋体" w:hAnsi="宋体" w:eastAsia="宋体" w:cs="宋体"/>
      <w:b/>
      <w:bCs/>
      <w:color w:val="000000"/>
      <w:sz w:val="24"/>
      <w:szCs w:val="24"/>
      <w:u w:val="none"/>
    </w:rPr>
  </w:style>
  <w:style w:type="character" w:customStyle="1" w:styleId="5">
    <w:name w:val="font71"/>
    <w:basedOn w:val="3"/>
    <w:autoRedefine/>
    <w:qFormat/>
    <w:uiPriority w:val="0"/>
    <w:rPr>
      <w:rFonts w:hint="default" w:ascii="Times New Roman" w:hAnsi="Times New Roman" w:cs="Times New Roman"/>
      <w:color w:val="000000"/>
      <w:sz w:val="24"/>
      <w:szCs w:val="24"/>
      <w:u w:val="none"/>
    </w:rPr>
  </w:style>
  <w:style w:type="character" w:customStyle="1" w:styleId="6">
    <w:name w:val="font81"/>
    <w:basedOn w:val="3"/>
    <w:autoRedefine/>
    <w:qFormat/>
    <w:uiPriority w:val="0"/>
    <w:rPr>
      <w:rFonts w:hint="eastAsia" w:ascii="宋体" w:hAnsi="宋体" w:eastAsia="宋体" w:cs="宋体"/>
      <w:color w:val="000000"/>
      <w:sz w:val="24"/>
      <w:szCs w:val="24"/>
      <w:u w:val="none"/>
    </w:rPr>
  </w:style>
  <w:style w:type="character" w:customStyle="1" w:styleId="7">
    <w:name w:val="font91"/>
    <w:basedOn w:val="3"/>
    <w:autoRedefine/>
    <w:qFormat/>
    <w:uiPriority w:val="0"/>
    <w:rPr>
      <w:rFonts w:hint="eastAsia" w:ascii="宋体" w:hAnsi="宋体" w:eastAsia="宋体" w:cs="宋体"/>
      <w:color w:val="000000"/>
      <w:sz w:val="24"/>
      <w:szCs w:val="24"/>
      <w:u w:val="single"/>
    </w:rPr>
  </w:style>
  <w:style w:type="character" w:customStyle="1" w:styleId="8">
    <w:name w:val="font51"/>
    <w:basedOn w:val="3"/>
    <w:autoRedefine/>
    <w:qFormat/>
    <w:uiPriority w:val="0"/>
    <w:rPr>
      <w:rFonts w:hint="default" w:ascii="Calibri" w:hAnsi="Calibri" w:cs="Calibri"/>
      <w:color w:val="000000"/>
      <w:sz w:val="24"/>
      <w:szCs w:val="24"/>
      <w:u w:val="none"/>
    </w:rPr>
  </w:style>
  <w:style w:type="character" w:customStyle="1" w:styleId="9">
    <w:name w:val="font12"/>
    <w:basedOn w:val="3"/>
    <w:autoRedefine/>
    <w:qFormat/>
    <w:uiPriority w:val="0"/>
    <w:rPr>
      <w:rFonts w:hint="eastAsia" w:ascii="宋体" w:hAnsi="宋体" w:eastAsia="宋体" w:cs="宋体"/>
      <w:b/>
      <w:bCs/>
      <w:color w:val="000000"/>
      <w:sz w:val="24"/>
      <w:szCs w:val="24"/>
      <w:u w:val="none"/>
    </w:rPr>
  </w:style>
  <w:style w:type="character" w:customStyle="1" w:styleId="10">
    <w:name w:val="font101"/>
    <w:basedOn w:val="3"/>
    <w:autoRedefine/>
    <w:qFormat/>
    <w:uiPriority w:val="0"/>
    <w:rPr>
      <w:rFonts w:ascii="Calibri" w:hAnsi="Calibri" w:cs="Calibri"/>
      <w:color w:val="000000"/>
      <w:sz w:val="24"/>
      <w:szCs w:val="24"/>
      <w:u w:val="none"/>
    </w:rPr>
  </w:style>
  <w:style w:type="character" w:customStyle="1" w:styleId="11">
    <w:name w:val="font111"/>
    <w:basedOn w:val="3"/>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3246</Words>
  <Characters>3418</Characters>
  <Lines>0</Lines>
  <Paragraphs>0</Paragraphs>
  <TotalTime>10</TotalTime>
  <ScaleCrop>false</ScaleCrop>
  <LinksUpToDate>false</LinksUpToDate>
  <CharactersWithSpaces>3520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2022-12-31T06:36:00Z</dcterms:created>
  <dc:creator>chen</dc:creator>
  <cp:lastModifiedBy>gdshi</cp:lastModifiedBy>
  <cp:lastPrinted>2025-01-09T01:18:00Z</cp:lastPrinted>
  <dcterms:modified xsi:type="dcterms:W3CDTF">2025-01-09T01:46:03Z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30B5F8DB983F4CF1B167DB1DC16A9CB1_13</vt:lpwstr>
  </property>
  <property fmtid="{D5CDD505-2E9C-101B-9397-08002B2CF9AE}" pid="4" name="KSOTemplateDocerSaveRecord">
    <vt:lpwstr>eyJoZGlkIjoiYjk1MWRkNjY0OWJmNWUyMzk4Y2IyNDZjYmU5YTA0NDAiLCJ1c2VySWQiOiIyMTQzMDg5MTMifQ==</vt:lpwstr>
  </property>
</Properties>
</file>