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宋体" w:eastAsia="仿宋_GB2312"/>
          <w:sz w:val="32"/>
          <w:szCs w:val="32"/>
        </w:rPr>
      </w:pPr>
      <w:r>
        <w:rPr>
          <w:rFonts w:hint="eastAsia" w:ascii="宋体" w:hAnsi="宋体"/>
          <w:b/>
          <w:bCs/>
          <w:sz w:val="32"/>
          <w:szCs w:val="32"/>
        </w:rPr>
        <w:t>安徽建筑大学气瓶租赁安全协议</w:t>
      </w:r>
    </w:p>
    <w:p>
      <w:pPr>
        <w:spacing w:line="400" w:lineRule="exact"/>
        <w:ind w:firstLine="5880" w:firstLineChars="2100"/>
        <w:rPr>
          <w:rFonts w:ascii="仿宋_GB2312" w:hAnsi="宋体" w:eastAsia="仿宋_GB2312"/>
          <w:sz w:val="28"/>
          <w:szCs w:val="28"/>
        </w:rPr>
      </w:pPr>
      <w:r>
        <w:rPr>
          <w:rFonts w:hint="eastAsia" w:ascii="仿宋_GB2312" w:hAnsi="宋体" w:eastAsia="仿宋_GB2312"/>
          <w:sz w:val="28"/>
          <w:szCs w:val="28"/>
        </w:rPr>
        <w:t>气瓶编号：</w:t>
      </w:r>
    </w:p>
    <w:p>
      <w:pPr>
        <w:spacing w:line="400" w:lineRule="exact"/>
        <w:ind w:firstLine="5880" w:firstLineChars="2100"/>
        <w:rPr>
          <w:rFonts w:ascii="仿宋_GB2312" w:hAnsi="宋体" w:eastAsia="仿宋_GB2312"/>
          <w:sz w:val="28"/>
          <w:szCs w:val="28"/>
        </w:rPr>
      </w:pPr>
      <w:r>
        <w:rPr>
          <w:rFonts w:hint="eastAsia" w:ascii="仿宋_GB2312" w:hAnsi="宋体" w:eastAsia="仿宋_GB2312"/>
          <w:sz w:val="28"/>
          <w:szCs w:val="28"/>
        </w:rPr>
        <w:t xml:space="preserve">使用人： </w:t>
      </w:r>
      <w:r>
        <w:rPr>
          <w:rFonts w:ascii="仿宋_GB2312" w:hAnsi="宋体" w:eastAsia="仿宋_GB2312"/>
          <w:sz w:val="28"/>
          <w:szCs w:val="28"/>
        </w:rPr>
        <w:t xml:space="preserve">     </w:t>
      </w:r>
    </w:p>
    <w:p>
      <w:pPr>
        <w:spacing w:line="400" w:lineRule="exact"/>
        <w:ind w:firstLine="5880" w:firstLineChars="2100"/>
        <w:rPr>
          <w:rFonts w:ascii="仿宋_GB2312" w:hAnsi="宋体" w:eastAsia="仿宋_GB2312"/>
          <w:sz w:val="28"/>
          <w:szCs w:val="28"/>
        </w:rPr>
      </w:pPr>
      <w:r>
        <w:rPr>
          <w:rFonts w:hint="eastAsia" w:ascii="仿宋_GB2312" w:hAnsi="宋体" w:eastAsia="仿宋_GB2312"/>
          <w:sz w:val="28"/>
          <w:szCs w:val="28"/>
        </w:rPr>
        <w:t>使用地点（房间号）：</w:t>
      </w:r>
    </w:p>
    <w:p>
      <w:pPr>
        <w:spacing w:line="400" w:lineRule="exact"/>
        <w:ind w:firstLine="560" w:firstLineChars="200"/>
        <w:rPr>
          <w:rFonts w:ascii="仿宋_GB2312" w:hAnsi="宋体" w:eastAsia="仿宋_GB2312"/>
          <w:sz w:val="28"/>
          <w:szCs w:val="28"/>
        </w:rPr>
      </w:pP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甲  方：                              电话：</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乙  方：                              电话：</w:t>
      </w:r>
    </w:p>
    <w:p>
      <w:pPr>
        <w:spacing w:line="400" w:lineRule="exact"/>
        <w:rPr>
          <w:rFonts w:ascii="仿宋_GB2312" w:hAnsi="宋体"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甲乙双方通过友好协商，一致同意按如下条款签订本气体及气体钢瓶供应（以下简称“货物”）安全协议：</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一、乙方资格等要求</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（一）具备国家行政部门认可并颁发的营业执照、安全生产监督管理部门颁发的《危险品经营许可证》及省级质监部门颁发的《气瓶充装许可证》等全部合法资质，同时应当符合以下条件：</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（1）有适应气瓶充装和安全管理需要的技术人员和特种设备作业人员，具有与充装的气体种类相适应的完好的充装设施、工器具、检测手段、场地厂房，有符合要求的安全设施；</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（2）具有一定的气体储存能力和足够数量的自有产权气瓶；</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（3）符合相应气瓶充装站安全技术规范及国家标准的要求，建立健全的气瓶充装质量保证体系和安全管理制度。</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（二）气瓶充装单位应当履行以下义务：</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（1）向气体消费者提供气瓶，并对气瓶的安全全面负责；</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（2）负责气瓶的维护、保养和颜色标志的涂敷工作；</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（3）按照安全技术规范及有关国家标准的规定，负责做好气瓶充装前的检查和充装记录，并对气瓶的充装安全负责；</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（4）负责对充装作业人员和充装前检查人员进行有关气体性质、气瓶的基础知识、潜在危险和应急处理措施等内容的培训；</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（5）负责向气瓶使用者宣传安全使用知识和危险性警示要求，并在所充装的气瓶上粘贴符合安全技术规范及国家标准规定的警示标签和充装标签；</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（6）气瓶有效检测期届满，负责气瓶收回送检，不符合安全要求的气瓶送交地（市）级或地（市）级以上质监部门指定的气瓶检验机构报废销毁；</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（7）配合气瓶安全事故调查工作。</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（三）乙方不得存在以下不良信用记录情形之一：</w:t>
      </w:r>
      <w:bookmarkStart w:id="0" w:name="_GoBack"/>
      <w:bookmarkEnd w:id="0"/>
    </w:p>
    <w:p>
      <w:pPr>
        <w:spacing w:line="400" w:lineRule="exact"/>
        <w:ind w:firstLine="560" w:firstLineChars="200"/>
        <w:rPr>
          <w:rFonts w:ascii="仿宋_GB2312" w:eastAsia="仿宋_GB2312"/>
          <w:sz w:val="28"/>
          <w:szCs w:val="28"/>
        </w:rPr>
      </w:pPr>
      <w:r>
        <w:rPr>
          <w:rFonts w:hint="eastAsia" w:ascii="仿宋_GB2312" w:eastAsia="仿宋_GB2312"/>
          <w:sz w:val="28"/>
          <w:szCs w:val="28"/>
        </w:rPr>
        <w:t>（1）被人民法院列入失信被执行人的；</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（2）被工商行政管理部门列入企业经营异常名录的；</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（3）被税务部门列入重大税收违法案件当事人名单的；</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（4）被政府采购监管部门列入政府采购严重违法失信行为记录名单的。</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二、租赁及供货</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乙方按照租赁形式供应气瓶给甲方使用，乙方应于采购合同签字生效后开始计算的</w:t>
      </w:r>
      <w:r>
        <w:rPr>
          <w:rFonts w:hint="eastAsia" w:ascii="仿宋_GB2312" w:eastAsia="仿宋_GB2312"/>
          <w:sz w:val="28"/>
          <w:szCs w:val="28"/>
          <w:u w:val="single"/>
        </w:rPr>
        <w:t xml:space="preserve">       </w:t>
      </w:r>
      <w:r>
        <w:rPr>
          <w:rFonts w:hint="eastAsia" w:ascii="仿宋_GB2312" w:eastAsia="仿宋_GB2312"/>
          <w:sz w:val="28"/>
          <w:szCs w:val="28"/>
        </w:rPr>
        <w:t>内将货物送到甲方指定的地点，由甲方当面进行验收。</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三、验收要求</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（一）质量标准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乙方保证提供的货物符合中华人民共和国质量监督检验检疫总局《气瓶安全监察规定》及行业的安全质量标准、环保标准中之较高者，对所提供的气瓶必须是经过安全检验的，并在安全检验期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（二）验收组织</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甲方负责组织验收工作，经办人按订货合同规定的货物质量标准进行检查、验收、登记，严格核对和检验货物的名称、生产规格、数量、货源、包装要求、有无泄漏、气瓶有效期</w:t>
      </w:r>
      <w:r>
        <w:rPr>
          <w:rFonts w:hint="eastAsia" w:ascii="仿宋_GB2312" w:eastAsia="仿宋_GB2312"/>
          <w:sz w:val="28"/>
          <w:szCs w:val="28"/>
          <w:lang w:eastAsia="zh-CN"/>
        </w:rPr>
        <w:t>（</w:t>
      </w:r>
      <w:r>
        <w:rPr>
          <w:rFonts w:hint="eastAsia" w:ascii="仿宋_GB2312" w:eastAsia="仿宋_GB2312"/>
          <w:sz w:val="28"/>
          <w:szCs w:val="28"/>
          <w:lang w:val="en-US" w:eastAsia="zh-CN"/>
        </w:rPr>
        <w:t>供货时，应有《气瓶检验合格标识》，且检验有效期不少于6个月</w:t>
      </w:r>
      <w:r>
        <w:rPr>
          <w:rFonts w:hint="eastAsia" w:ascii="仿宋_GB2312" w:eastAsia="仿宋_GB2312"/>
          <w:sz w:val="28"/>
          <w:szCs w:val="28"/>
          <w:lang w:eastAsia="zh-CN"/>
        </w:rPr>
        <w:t>）</w:t>
      </w:r>
      <w:r>
        <w:rPr>
          <w:rFonts w:hint="eastAsia" w:ascii="仿宋_GB2312" w:eastAsia="仿宋_GB2312"/>
          <w:sz w:val="28"/>
          <w:szCs w:val="28"/>
        </w:rPr>
        <w:t>，经检验合格方可入库。货物质量和安全要求不合格的，作退货处理。</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 xml:space="preserve">甲   方：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乙   方： </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 xml:space="preserve">单位盖章：                 </w:t>
      </w:r>
      <w:r>
        <w:rPr>
          <w:rFonts w:hint="eastAsia" w:ascii="仿宋_GB2312" w:eastAsia="仿宋_GB2312"/>
          <w:sz w:val="28"/>
          <w:szCs w:val="28"/>
          <w:lang w:val="en-US" w:eastAsia="zh-CN"/>
        </w:rPr>
        <w:t xml:space="preserve">  </w:t>
      </w:r>
      <w:r>
        <w:rPr>
          <w:rFonts w:hint="eastAsia" w:ascii="仿宋_GB2312" w:eastAsia="仿宋_GB2312"/>
          <w:sz w:val="28"/>
          <w:szCs w:val="28"/>
        </w:rPr>
        <w:t>单位盖章：</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 xml:space="preserve">经办人：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法定代表人或委托代理人：</w:t>
      </w:r>
    </w:p>
    <w:p>
      <w:pPr>
        <w:spacing w:line="400" w:lineRule="exact"/>
        <w:rPr>
          <w:rFonts w:ascii="仿宋_GB2312" w:eastAsia="仿宋_GB2312"/>
          <w:sz w:val="28"/>
          <w:szCs w:val="28"/>
        </w:rPr>
      </w:pPr>
    </w:p>
    <w:p>
      <w:pPr>
        <w:spacing w:line="4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 xml:space="preserve">日    期：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日    期:</w:t>
      </w:r>
    </w:p>
    <w:p>
      <w:pPr>
        <w:spacing w:line="400" w:lineRule="exact"/>
        <w:jc w:val="both"/>
        <w:rPr>
          <w:rFonts w:hint="eastAsia" w:ascii="仿宋_GB2312" w:eastAsia="仿宋_GB2312"/>
          <w:sz w:val="28"/>
          <w:szCs w:val="28"/>
          <w:lang w:val="en-US" w:eastAsia="zh-CN"/>
        </w:rPr>
      </w:pPr>
    </w:p>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气体采购清单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90"/>
        <w:gridCol w:w="810"/>
        <w:gridCol w:w="810"/>
        <w:gridCol w:w="870"/>
        <w:gridCol w:w="954"/>
        <w:gridCol w:w="1035"/>
        <w:gridCol w:w="127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序号</w:t>
            </w:r>
          </w:p>
        </w:tc>
        <w:tc>
          <w:tcPr>
            <w:tcW w:w="1590" w:type="dxa"/>
            <w:vAlign w:val="center"/>
          </w:tcPr>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申购单号（化学品采购系统）</w:t>
            </w:r>
          </w:p>
        </w:tc>
        <w:tc>
          <w:tcPr>
            <w:tcW w:w="810" w:type="dxa"/>
            <w:vAlign w:val="center"/>
          </w:tcPr>
          <w:p>
            <w:pPr>
              <w:spacing w:line="40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气体</w:t>
            </w:r>
          </w:p>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种类</w:t>
            </w:r>
          </w:p>
        </w:tc>
        <w:tc>
          <w:tcPr>
            <w:tcW w:w="810" w:type="dxa"/>
            <w:vAlign w:val="center"/>
          </w:tcPr>
          <w:p>
            <w:pPr>
              <w:spacing w:line="40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规格</w:t>
            </w:r>
          </w:p>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型号</w:t>
            </w:r>
          </w:p>
        </w:tc>
        <w:tc>
          <w:tcPr>
            <w:tcW w:w="870" w:type="dxa"/>
            <w:vAlign w:val="center"/>
          </w:tcPr>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c>
          <w:tcPr>
            <w:tcW w:w="954" w:type="dxa"/>
            <w:vAlign w:val="center"/>
          </w:tcPr>
          <w:p>
            <w:pPr>
              <w:spacing w:line="40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送货</w:t>
            </w:r>
          </w:p>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日期</w:t>
            </w:r>
          </w:p>
        </w:tc>
        <w:tc>
          <w:tcPr>
            <w:tcW w:w="1035" w:type="dxa"/>
            <w:vAlign w:val="center"/>
          </w:tcPr>
          <w:p>
            <w:pPr>
              <w:spacing w:line="40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存放</w:t>
            </w:r>
          </w:p>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地点</w:t>
            </w:r>
          </w:p>
        </w:tc>
        <w:tc>
          <w:tcPr>
            <w:tcW w:w="1274" w:type="dxa"/>
            <w:vAlign w:val="center"/>
          </w:tcPr>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钢瓶检验有效期至</w:t>
            </w:r>
          </w:p>
        </w:tc>
        <w:tc>
          <w:tcPr>
            <w:tcW w:w="1290" w:type="dxa"/>
            <w:vAlign w:val="center"/>
          </w:tcPr>
          <w:p>
            <w:pPr>
              <w:spacing w:line="40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经办人</w:t>
            </w:r>
          </w:p>
          <w:p>
            <w:pPr>
              <w:spacing w:line="40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spacing w:line="400" w:lineRule="exact"/>
              <w:jc w:val="center"/>
              <w:rPr>
                <w:rFonts w:hint="eastAsia" w:ascii="仿宋_GB2312" w:eastAsia="仿宋_GB2312"/>
                <w:sz w:val="28"/>
                <w:szCs w:val="28"/>
                <w:vertAlign w:val="baseline"/>
                <w:lang w:val="en-US" w:eastAsia="zh-CN"/>
              </w:rPr>
            </w:pPr>
          </w:p>
        </w:tc>
        <w:tc>
          <w:tcPr>
            <w:tcW w:w="159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70" w:type="dxa"/>
          </w:tcPr>
          <w:p>
            <w:pPr>
              <w:spacing w:line="400" w:lineRule="exact"/>
              <w:jc w:val="center"/>
              <w:rPr>
                <w:rFonts w:hint="eastAsia" w:ascii="仿宋_GB2312" w:eastAsia="仿宋_GB2312"/>
                <w:sz w:val="28"/>
                <w:szCs w:val="28"/>
                <w:vertAlign w:val="baseline"/>
                <w:lang w:val="en-US" w:eastAsia="zh-CN"/>
              </w:rPr>
            </w:pPr>
          </w:p>
        </w:tc>
        <w:tc>
          <w:tcPr>
            <w:tcW w:w="954" w:type="dxa"/>
          </w:tcPr>
          <w:p>
            <w:pPr>
              <w:spacing w:line="400" w:lineRule="exact"/>
              <w:jc w:val="center"/>
              <w:rPr>
                <w:rFonts w:hint="eastAsia" w:ascii="仿宋_GB2312" w:eastAsia="仿宋_GB2312"/>
                <w:sz w:val="28"/>
                <w:szCs w:val="28"/>
                <w:vertAlign w:val="baseline"/>
                <w:lang w:val="en-US" w:eastAsia="zh-CN"/>
              </w:rPr>
            </w:pPr>
          </w:p>
        </w:tc>
        <w:tc>
          <w:tcPr>
            <w:tcW w:w="1035" w:type="dxa"/>
          </w:tcPr>
          <w:p>
            <w:pPr>
              <w:spacing w:line="400" w:lineRule="exact"/>
              <w:jc w:val="center"/>
              <w:rPr>
                <w:rFonts w:hint="eastAsia" w:ascii="仿宋_GB2312" w:eastAsia="仿宋_GB2312"/>
                <w:sz w:val="28"/>
                <w:szCs w:val="28"/>
                <w:vertAlign w:val="baseline"/>
                <w:lang w:val="en-US" w:eastAsia="zh-CN"/>
              </w:rPr>
            </w:pPr>
          </w:p>
        </w:tc>
        <w:tc>
          <w:tcPr>
            <w:tcW w:w="1274" w:type="dxa"/>
          </w:tcPr>
          <w:p>
            <w:pPr>
              <w:spacing w:line="400" w:lineRule="exact"/>
              <w:jc w:val="center"/>
              <w:rPr>
                <w:rFonts w:hint="eastAsia" w:ascii="仿宋_GB2312" w:eastAsia="仿宋_GB2312"/>
                <w:sz w:val="28"/>
                <w:szCs w:val="28"/>
                <w:vertAlign w:val="baseline"/>
                <w:lang w:val="en-US" w:eastAsia="zh-CN"/>
              </w:rPr>
            </w:pPr>
          </w:p>
        </w:tc>
        <w:tc>
          <w:tcPr>
            <w:tcW w:w="1290" w:type="dxa"/>
          </w:tcPr>
          <w:p>
            <w:pPr>
              <w:spacing w:line="400" w:lineRule="exact"/>
              <w:jc w:val="center"/>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spacing w:line="400" w:lineRule="exact"/>
              <w:jc w:val="center"/>
              <w:rPr>
                <w:rFonts w:hint="eastAsia" w:ascii="仿宋_GB2312" w:eastAsia="仿宋_GB2312"/>
                <w:sz w:val="28"/>
                <w:szCs w:val="28"/>
                <w:vertAlign w:val="baseline"/>
                <w:lang w:val="en-US" w:eastAsia="zh-CN"/>
              </w:rPr>
            </w:pPr>
          </w:p>
        </w:tc>
        <w:tc>
          <w:tcPr>
            <w:tcW w:w="159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70" w:type="dxa"/>
          </w:tcPr>
          <w:p>
            <w:pPr>
              <w:spacing w:line="400" w:lineRule="exact"/>
              <w:jc w:val="center"/>
              <w:rPr>
                <w:rFonts w:hint="eastAsia" w:ascii="仿宋_GB2312" w:eastAsia="仿宋_GB2312"/>
                <w:sz w:val="28"/>
                <w:szCs w:val="28"/>
                <w:vertAlign w:val="baseline"/>
                <w:lang w:val="en-US" w:eastAsia="zh-CN"/>
              </w:rPr>
            </w:pPr>
          </w:p>
        </w:tc>
        <w:tc>
          <w:tcPr>
            <w:tcW w:w="954" w:type="dxa"/>
          </w:tcPr>
          <w:p>
            <w:pPr>
              <w:spacing w:line="400" w:lineRule="exact"/>
              <w:jc w:val="center"/>
              <w:rPr>
                <w:rFonts w:hint="eastAsia" w:ascii="仿宋_GB2312" w:eastAsia="仿宋_GB2312"/>
                <w:sz w:val="28"/>
                <w:szCs w:val="28"/>
                <w:vertAlign w:val="baseline"/>
                <w:lang w:val="en-US" w:eastAsia="zh-CN"/>
              </w:rPr>
            </w:pPr>
          </w:p>
        </w:tc>
        <w:tc>
          <w:tcPr>
            <w:tcW w:w="1035" w:type="dxa"/>
          </w:tcPr>
          <w:p>
            <w:pPr>
              <w:spacing w:line="400" w:lineRule="exact"/>
              <w:jc w:val="center"/>
              <w:rPr>
                <w:rFonts w:hint="eastAsia" w:ascii="仿宋_GB2312" w:eastAsia="仿宋_GB2312"/>
                <w:sz w:val="28"/>
                <w:szCs w:val="28"/>
                <w:vertAlign w:val="baseline"/>
                <w:lang w:val="en-US" w:eastAsia="zh-CN"/>
              </w:rPr>
            </w:pPr>
          </w:p>
        </w:tc>
        <w:tc>
          <w:tcPr>
            <w:tcW w:w="1274" w:type="dxa"/>
          </w:tcPr>
          <w:p>
            <w:pPr>
              <w:spacing w:line="400" w:lineRule="exact"/>
              <w:jc w:val="center"/>
              <w:rPr>
                <w:rFonts w:hint="eastAsia" w:ascii="仿宋_GB2312" w:eastAsia="仿宋_GB2312"/>
                <w:sz w:val="28"/>
                <w:szCs w:val="28"/>
                <w:vertAlign w:val="baseline"/>
                <w:lang w:val="en-US" w:eastAsia="zh-CN"/>
              </w:rPr>
            </w:pPr>
          </w:p>
        </w:tc>
        <w:tc>
          <w:tcPr>
            <w:tcW w:w="1290" w:type="dxa"/>
          </w:tcPr>
          <w:p>
            <w:pPr>
              <w:spacing w:line="400" w:lineRule="exact"/>
              <w:jc w:val="center"/>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spacing w:line="400" w:lineRule="exact"/>
              <w:jc w:val="center"/>
              <w:rPr>
                <w:rFonts w:hint="eastAsia" w:ascii="仿宋_GB2312" w:eastAsia="仿宋_GB2312"/>
                <w:sz w:val="28"/>
                <w:szCs w:val="28"/>
                <w:vertAlign w:val="baseline"/>
                <w:lang w:val="en-US" w:eastAsia="zh-CN"/>
              </w:rPr>
            </w:pPr>
          </w:p>
        </w:tc>
        <w:tc>
          <w:tcPr>
            <w:tcW w:w="159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70" w:type="dxa"/>
          </w:tcPr>
          <w:p>
            <w:pPr>
              <w:spacing w:line="400" w:lineRule="exact"/>
              <w:jc w:val="center"/>
              <w:rPr>
                <w:rFonts w:hint="eastAsia" w:ascii="仿宋_GB2312" w:eastAsia="仿宋_GB2312"/>
                <w:sz w:val="28"/>
                <w:szCs w:val="28"/>
                <w:vertAlign w:val="baseline"/>
                <w:lang w:val="en-US" w:eastAsia="zh-CN"/>
              </w:rPr>
            </w:pPr>
          </w:p>
        </w:tc>
        <w:tc>
          <w:tcPr>
            <w:tcW w:w="954" w:type="dxa"/>
          </w:tcPr>
          <w:p>
            <w:pPr>
              <w:spacing w:line="400" w:lineRule="exact"/>
              <w:jc w:val="center"/>
              <w:rPr>
                <w:rFonts w:hint="eastAsia" w:ascii="仿宋_GB2312" w:eastAsia="仿宋_GB2312"/>
                <w:sz w:val="28"/>
                <w:szCs w:val="28"/>
                <w:vertAlign w:val="baseline"/>
                <w:lang w:val="en-US" w:eastAsia="zh-CN"/>
              </w:rPr>
            </w:pPr>
          </w:p>
        </w:tc>
        <w:tc>
          <w:tcPr>
            <w:tcW w:w="1035" w:type="dxa"/>
          </w:tcPr>
          <w:p>
            <w:pPr>
              <w:spacing w:line="400" w:lineRule="exact"/>
              <w:jc w:val="center"/>
              <w:rPr>
                <w:rFonts w:hint="eastAsia" w:ascii="仿宋_GB2312" w:eastAsia="仿宋_GB2312"/>
                <w:sz w:val="28"/>
                <w:szCs w:val="28"/>
                <w:vertAlign w:val="baseline"/>
                <w:lang w:val="en-US" w:eastAsia="zh-CN"/>
              </w:rPr>
            </w:pPr>
          </w:p>
        </w:tc>
        <w:tc>
          <w:tcPr>
            <w:tcW w:w="1274" w:type="dxa"/>
          </w:tcPr>
          <w:p>
            <w:pPr>
              <w:spacing w:line="400" w:lineRule="exact"/>
              <w:jc w:val="center"/>
              <w:rPr>
                <w:rFonts w:hint="eastAsia" w:ascii="仿宋_GB2312" w:eastAsia="仿宋_GB2312"/>
                <w:sz w:val="28"/>
                <w:szCs w:val="28"/>
                <w:vertAlign w:val="baseline"/>
                <w:lang w:val="en-US" w:eastAsia="zh-CN"/>
              </w:rPr>
            </w:pPr>
          </w:p>
        </w:tc>
        <w:tc>
          <w:tcPr>
            <w:tcW w:w="1290" w:type="dxa"/>
          </w:tcPr>
          <w:p>
            <w:pPr>
              <w:spacing w:line="400" w:lineRule="exact"/>
              <w:jc w:val="center"/>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spacing w:line="400" w:lineRule="exact"/>
              <w:jc w:val="center"/>
              <w:rPr>
                <w:rFonts w:hint="eastAsia" w:ascii="仿宋_GB2312" w:eastAsia="仿宋_GB2312"/>
                <w:sz w:val="28"/>
                <w:szCs w:val="28"/>
                <w:vertAlign w:val="baseline"/>
                <w:lang w:val="en-US" w:eastAsia="zh-CN"/>
              </w:rPr>
            </w:pPr>
          </w:p>
        </w:tc>
        <w:tc>
          <w:tcPr>
            <w:tcW w:w="159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70" w:type="dxa"/>
          </w:tcPr>
          <w:p>
            <w:pPr>
              <w:spacing w:line="400" w:lineRule="exact"/>
              <w:jc w:val="center"/>
              <w:rPr>
                <w:rFonts w:hint="eastAsia" w:ascii="仿宋_GB2312" w:eastAsia="仿宋_GB2312"/>
                <w:sz w:val="28"/>
                <w:szCs w:val="28"/>
                <w:vertAlign w:val="baseline"/>
                <w:lang w:val="en-US" w:eastAsia="zh-CN"/>
              </w:rPr>
            </w:pPr>
          </w:p>
        </w:tc>
        <w:tc>
          <w:tcPr>
            <w:tcW w:w="954" w:type="dxa"/>
          </w:tcPr>
          <w:p>
            <w:pPr>
              <w:spacing w:line="400" w:lineRule="exact"/>
              <w:jc w:val="center"/>
              <w:rPr>
                <w:rFonts w:hint="eastAsia" w:ascii="仿宋_GB2312" w:eastAsia="仿宋_GB2312"/>
                <w:sz w:val="28"/>
                <w:szCs w:val="28"/>
                <w:vertAlign w:val="baseline"/>
                <w:lang w:val="en-US" w:eastAsia="zh-CN"/>
              </w:rPr>
            </w:pPr>
          </w:p>
        </w:tc>
        <w:tc>
          <w:tcPr>
            <w:tcW w:w="1035" w:type="dxa"/>
          </w:tcPr>
          <w:p>
            <w:pPr>
              <w:spacing w:line="400" w:lineRule="exact"/>
              <w:jc w:val="center"/>
              <w:rPr>
                <w:rFonts w:hint="eastAsia" w:ascii="仿宋_GB2312" w:eastAsia="仿宋_GB2312"/>
                <w:sz w:val="28"/>
                <w:szCs w:val="28"/>
                <w:vertAlign w:val="baseline"/>
                <w:lang w:val="en-US" w:eastAsia="zh-CN"/>
              </w:rPr>
            </w:pPr>
          </w:p>
        </w:tc>
        <w:tc>
          <w:tcPr>
            <w:tcW w:w="1274" w:type="dxa"/>
          </w:tcPr>
          <w:p>
            <w:pPr>
              <w:spacing w:line="400" w:lineRule="exact"/>
              <w:jc w:val="center"/>
              <w:rPr>
                <w:rFonts w:hint="eastAsia" w:ascii="仿宋_GB2312" w:eastAsia="仿宋_GB2312"/>
                <w:sz w:val="28"/>
                <w:szCs w:val="28"/>
                <w:vertAlign w:val="baseline"/>
                <w:lang w:val="en-US" w:eastAsia="zh-CN"/>
              </w:rPr>
            </w:pPr>
          </w:p>
        </w:tc>
        <w:tc>
          <w:tcPr>
            <w:tcW w:w="1290" w:type="dxa"/>
          </w:tcPr>
          <w:p>
            <w:pPr>
              <w:spacing w:line="400" w:lineRule="exact"/>
              <w:jc w:val="center"/>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spacing w:line="400" w:lineRule="exact"/>
              <w:jc w:val="center"/>
              <w:rPr>
                <w:rFonts w:hint="eastAsia" w:ascii="仿宋_GB2312" w:eastAsia="仿宋_GB2312"/>
                <w:sz w:val="28"/>
                <w:szCs w:val="28"/>
                <w:vertAlign w:val="baseline"/>
                <w:lang w:val="en-US" w:eastAsia="zh-CN"/>
              </w:rPr>
            </w:pPr>
          </w:p>
        </w:tc>
        <w:tc>
          <w:tcPr>
            <w:tcW w:w="159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10" w:type="dxa"/>
          </w:tcPr>
          <w:p>
            <w:pPr>
              <w:spacing w:line="400" w:lineRule="exact"/>
              <w:jc w:val="center"/>
              <w:rPr>
                <w:rFonts w:hint="eastAsia" w:ascii="仿宋_GB2312" w:eastAsia="仿宋_GB2312"/>
                <w:sz w:val="28"/>
                <w:szCs w:val="28"/>
                <w:vertAlign w:val="baseline"/>
                <w:lang w:val="en-US" w:eastAsia="zh-CN"/>
              </w:rPr>
            </w:pPr>
          </w:p>
        </w:tc>
        <w:tc>
          <w:tcPr>
            <w:tcW w:w="870" w:type="dxa"/>
          </w:tcPr>
          <w:p>
            <w:pPr>
              <w:spacing w:line="400" w:lineRule="exact"/>
              <w:jc w:val="center"/>
              <w:rPr>
                <w:rFonts w:hint="eastAsia" w:ascii="仿宋_GB2312" w:eastAsia="仿宋_GB2312"/>
                <w:sz w:val="28"/>
                <w:szCs w:val="28"/>
                <w:vertAlign w:val="baseline"/>
                <w:lang w:val="en-US" w:eastAsia="zh-CN"/>
              </w:rPr>
            </w:pPr>
          </w:p>
        </w:tc>
        <w:tc>
          <w:tcPr>
            <w:tcW w:w="954" w:type="dxa"/>
          </w:tcPr>
          <w:p>
            <w:pPr>
              <w:spacing w:line="400" w:lineRule="exact"/>
              <w:jc w:val="center"/>
              <w:rPr>
                <w:rFonts w:hint="eastAsia" w:ascii="仿宋_GB2312" w:eastAsia="仿宋_GB2312"/>
                <w:sz w:val="28"/>
                <w:szCs w:val="28"/>
                <w:vertAlign w:val="baseline"/>
                <w:lang w:val="en-US" w:eastAsia="zh-CN"/>
              </w:rPr>
            </w:pPr>
          </w:p>
        </w:tc>
        <w:tc>
          <w:tcPr>
            <w:tcW w:w="1035" w:type="dxa"/>
          </w:tcPr>
          <w:p>
            <w:pPr>
              <w:spacing w:line="400" w:lineRule="exact"/>
              <w:jc w:val="center"/>
              <w:rPr>
                <w:rFonts w:hint="eastAsia" w:ascii="仿宋_GB2312" w:eastAsia="仿宋_GB2312"/>
                <w:sz w:val="28"/>
                <w:szCs w:val="28"/>
                <w:vertAlign w:val="baseline"/>
                <w:lang w:val="en-US" w:eastAsia="zh-CN"/>
              </w:rPr>
            </w:pPr>
          </w:p>
        </w:tc>
        <w:tc>
          <w:tcPr>
            <w:tcW w:w="1274" w:type="dxa"/>
          </w:tcPr>
          <w:p>
            <w:pPr>
              <w:spacing w:line="400" w:lineRule="exact"/>
              <w:jc w:val="center"/>
              <w:rPr>
                <w:rFonts w:hint="eastAsia" w:ascii="仿宋_GB2312" w:eastAsia="仿宋_GB2312"/>
                <w:sz w:val="28"/>
                <w:szCs w:val="28"/>
                <w:vertAlign w:val="baseline"/>
                <w:lang w:val="en-US" w:eastAsia="zh-CN"/>
              </w:rPr>
            </w:pPr>
          </w:p>
        </w:tc>
        <w:tc>
          <w:tcPr>
            <w:tcW w:w="1290" w:type="dxa"/>
          </w:tcPr>
          <w:p>
            <w:pPr>
              <w:spacing w:line="400" w:lineRule="exact"/>
              <w:jc w:val="center"/>
              <w:rPr>
                <w:rFonts w:hint="eastAsia" w:ascii="仿宋_GB2312" w:eastAsia="仿宋_GB2312"/>
                <w:sz w:val="28"/>
                <w:szCs w:val="28"/>
                <w:vertAlign w:val="baseline"/>
                <w:lang w:val="en-US" w:eastAsia="zh-CN"/>
              </w:rPr>
            </w:pPr>
          </w:p>
        </w:tc>
      </w:tr>
    </w:tbl>
    <w:p>
      <w:pPr>
        <w:spacing w:line="400" w:lineRule="exact"/>
        <w:jc w:val="center"/>
        <w:rPr>
          <w:rFonts w:hint="eastAsia" w:ascii="仿宋_GB2312" w:eastAsia="仿宋_GB2312"/>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4OGI0YWFmMTVjNzJiYzg1OTI1MDcyYTlhYjQxZWMifQ=="/>
  </w:docVars>
  <w:rsids>
    <w:rsidRoot w:val="005324E7"/>
    <w:rsid w:val="000252E5"/>
    <w:rsid w:val="0005352C"/>
    <w:rsid w:val="00140426"/>
    <w:rsid w:val="001740AB"/>
    <w:rsid w:val="00190275"/>
    <w:rsid w:val="001A7715"/>
    <w:rsid w:val="001C4EF0"/>
    <w:rsid w:val="001D4AD6"/>
    <w:rsid w:val="002532A3"/>
    <w:rsid w:val="002E1EEF"/>
    <w:rsid w:val="0030123A"/>
    <w:rsid w:val="0031489A"/>
    <w:rsid w:val="00330EDB"/>
    <w:rsid w:val="00335035"/>
    <w:rsid w:val="00341492"/>
    <w:rsid w:val="00374693"/>
    <w:rsid w:val="003C5400"/>
    <w:rsid w:val="004122B3"/>
    <w:rsid w:val="004342FC"/>
    <w:rsid w:val="00481691"/>
    <w:rsid w:val="00487309"/>
    <w:rsid w:val="00496050"/>
    <w:rsid w:val="004A3257"/>
    <w:rsid w:val="004B51A1"/>
    <w:rsid w:val="004D6704"/>
    <w:rsid w:val="005324E7"/>
    <w:rsid w:val="00562502"/>
    <w:rsid w:val="005648A3"/>
    <w:rsid w:val="00594700"/>
    <w:rsid w:val="00597258"/>
    <w:rsid w:val="005A091E"/>
    <w:rsid w:val="005A3928"/>
    <w:rsid w:val="005E2F19"/>
    <w:rsid w:val="0063335F"/>
    <w:rsid w:val="006D5D09"/>
    <w:rsid w:val="006E1136"/>
    <w:rsid w:val="00707E66"/>
    <w:rsid w:val="00731E7A"/>
    <w:rsid w:val="007A18F1"/>
    <w:rsid w:val="007E1449"/>
    <w:rsid w:val="00845373"/>
    <w:rsid w:val="008B70C5"/>
    <w:rsid w:val="008D1ED4"/>
    <w:rsid w:val="008D3834"/>
    <w:rsid w:val="00934440"/>
    <w:rsid w:val="009538C6"/>
    <w:rsid w:val="00962695"/>
    <w:rsid w:val="009B1835"/>
    <w:rsid w:val="009E400F"/>
    <w:rsid w:val="00A04143"/>
    <w:rsid w:val="00A1720C"/>
    <w:rsid w:val="00A40B35"/>
    <w:rsid w:val="00A5238B"/>
    <w:rsid w:val="00A80C22"/>
    <w:rsid w:val="00A95CDC"/>
    <w:rsid w:val="00AA7644"/>
    <w:rsid w:val="00AB3EC8"/>
    <w:rsid w:val="00AD5079"/>
    <w:rsid w:val="00AD7519"/>
    <w:rsid w:val="00AE244F"/>
    <w:rsid w:val="00B0656F"/>
    <w:rsid w:val="00B14B62"/>
    <w:rsid w:val="00B27251"/>
    <w:rsid w:val="00B425DA"/>
    <w:rsid w:val="00B42FDF"/>
    <w:rsid w:val="00B63CE0"/>
    <w:rsid w:val="00B81B9E"/>
    <w:rsid w:val="00B91390"/>
    <w:rsid w:val="00C203CA"/>
    <w:rsid w:val="00C27F3F"/>
    <w:rsid w:val="00C35C69"/>
    <w:rsid w:val="00C460F8"/>
    <w:rsid w:val="00C8516E"/>
    <w:rsid w:val="00C93E26"/>
    <w:rsid w:val="00C95071"/>
    <w:rsid w:val="00CB58FC"/>
    <w:rsid w:val="00CC7152"/>
    <w:rsid w:val="00CD1AAF"/>
    <w:rsid w:val="00CE22A8"/>
    <w:rsid w:val="00CE7311"/>
    <w:rsid w:val="00CF158F"/>
    <w:rsid w:val="00D21FC1"/>
    <w:rsid w:val="00D2798A"/>
    <w:rsid w:val="00D96336"/>
    <w:rsid w:val="00E60A50"/>
    <w:rsid w:val="00E66CD1"/>
    <w:rsid w:val="00ED0CEA"/>
    <w:rsid w:val="00EF0CB9"/>
    <w:rsid w:val="00F81D72"/>
    <w:rsid w:val="00FA7582"/>
    <w:rsid w:val="00FB4022"/>
    <w:rsid w:val="00FD627E"/>
    <w:rsid w:val="07283BBC"/>
    <w:rsid w:val="0E8420D8"/>
    <w:rsid w:val="15E9430A"/>
    <w:rsid w:val="16C70686"/>
    <w:rsid w:val="176779C5"/>
    <w:rsid w:val="1D836E4C"/>
    <w:rsid w:val="1E577DCB"/>
    <w:rsid w:val="23D345AE"/>
    <w:rsid w:val="33477532"/>
    <w:rsid w:val="3BF305B3"/>
    <w:rsid w:val="42467888"/>
    <w:rsid w:val="42CA5B5E"/>
    <w:rsid w:val="4A35468A"/>
    <w:rsid w:val="4F397CC4"/>
    <w:rsid w:val="55245235"/>
    <w:rsid w:val="60C85A5C"/>
    <w:rsid w:val="61166E6C"/>
    <w:rsid w:val="6B0F2398"/>
    <w:rsid w:val="70A370AC"/>
    <w:rsid w:val="740E3D5A"/>
    <w:rsid w:val="747C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uiPriority w:val="0"/>
    <w:rPr>
      <w:kern w:val="2"/>
      <w:sz w:val="18"/>
      <w:szCs w:val="18"/>
    </w:rPr>
  </w:style>
  <w:style w:type="character" w:customStyle="1" w:styleId="11">
    <w:name w:val="页脚 字符"/>
    <w:basedOn w:val="9"/>
    <w:link w:val="4"/>
    <w:uiPriority w:val="0"/>
    <w:rPr>
      <w:kern w:val="2"/>
      <w:sz w:val="18"/>
      <w:szCs w:val="18"/>
    </w:rPr>
  </w:style>
  <w:style w:type="character" w:customStyle="1" w:styleId="12">
    <w:name w:val="批注框文本 字符"/>
    <w:basedOn w:val="9"/>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1355</Words>
  <Characters>1355</Characters>
  <Lines>10</Lines>
  <Paragraphs>2</Paragraphs>
  <TotalTime>31</TotalTime>
  <ScaleCrop>false</ScaleCrop>
  <LinksUpToDate>false</LinksUpToDate>
  <CharactersWithSpaces>1526</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2020-06-01T06:52:00Z</dcterms:created>
  <dc:creator>Administrator</dc:creator>
  <cp:lastModifiedBy>xuanfeiyu</cp:lastModifiedBy>
  <cp:lastPrinted>2022-10-13T03:36:00Z</cp:lastPrinted>
  <dcterms:modified xsi:type="dcterms:W3CDTF">2022-10-13T03:43:30Z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5504B3089BAD4B0B94701AE3133475AD</vt:lpwstr>
  </property>
</Properties>
</file>